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Borders>
          <w:bottom w:val="single" w:sz="2" w:space="0" w:color="auto"/>
        </w:tblBorders>
        <w:tblLayout w:type="fixed"/>
        <w:tblCellMar>
          <w:left w:w="0" w:type="dxa"/>
          <w:right w:w="0" w:type="dxa"/>
        </w:tblCellMar>
        <w:tblLook w:val="0000" w:firstRow="0" w:lastRow="0" w:firstColumn="0" w:lastColumn="0" w:noHBand="0" w:noVBand="0"/>
      </w:tblPr>
      <w:tblGrid>
        <w:gridCol w:w="6521"/>
        <w:gridCol w:w="3119"/>
      </w:tblGrid>
      <w:tr w:rsidR="00C577BA" w:rsidRPr="00A03060" w14:paraId="1C6EC32A" w14:textId="77777777">
        <w:trPr>
          <w:cantSplit/>
          <w:trHeight w:hRule="exact" w:val="1077"/>
        </w:trPr>
        <w:tc>
          <w:tcPr>
            <w:tcW w:w="6521" w:type="dxa"/>
          </w:tcPr>
          <w:p w14:paraId="0966C3B5" w14:textId="77777777" w:rsidR="00C577BA" w:rsidRPr="00A03060" w:rsidRDefault="00C577BA">
            <w:pPr>
              <w:pStyle w:val="SiemensLogo"/>
              <w:rPr>
                <w:noProof w:val="0"/>
              </w:rPr>
            </w:pPr>
          </w:p>
        </w:tc>
        <w:tc>
          <w:tcPr>
            <w:tcW w:w="3119" w:type="dxa"/>
            <w:vMerge w:val="restart"/>
            <w:tcBorders>
              <w:bottom w:val="nil"/>
            </w:tcBorders>
            <w:vAlign w:val="bottom"/>
          </w:tcPr>
          <w:p w14:paraId="466E9C4B" w14:textId="77777777" w:rsidR="00C577BA" w:rsidRPr="00A03060" w:rsidRDefault="00395FEE">
            <w:pPr>
              <w:pStyle w:val="PressSign"/>
              <w:rPr>
                <w:noProof w:val="0"/>
              </w:rPr>
            </w:pPr>
            <w:r w:rsidRPr="00A03060">
              <w:rPr>
                <w:noProof w:val="0"/>
              </w:rPr>
              <w:t>Presse</w:t>
            </w:r>
          </w:p>
        </w:tc>
      </w:tr>
      <w:tr w:rsidR="00C577BA" w:rsidRPr="00A03060" w14:paraId="432E8B3C" w14:textId="77777777">
        <w:trPr>
          <w:cantSplit/>
          <w:trHeight w:hRule="exact" w:val="397"/>
        </w:trPr>
        <w:tc>
          <w:tcPr>
            <w:tcW w:w="6521" w:type="dxa"/>
            <w:tcBorders>
              <w:bottom w:val="single" w:sz="2" w:space="0" w:color="auto"/>
            </w:tcBorders>
            <w:vAlign w:val="bottom"/>
          </w:tcPr>
          <w:p w14:paraId="6041D488" w14:textId="77777777" w:rsidR="00C577BA" w:rsidRPr="00A03060" w:rsidRDefault="00395FEE">
            <w:pPr>
              <w:pStyle w:val="Pressinformation"/>
              <w:rPr>
                <w:noProof w:val="0"/>
              </w:rPr>
            </w:pPr>
            <w:r w:rsidRPr="00A03060">
              <w:rPr>
                <w:noProof w:val="0"/>
              </w:rPr>
              <w:t>Gemeinsame Presseinformation</w:t>
            </w:r>
          </w:p>
        </w:tc>
        <w:tc>
          <w:tcPr>
            <w:tcW w:w="3119" w:type="dxa"/>
            <w:vMerge/>
            <w:tcBorders>
              <w:top w:val="single" w:sz="2" w:space="0" w:color="auto"/>
              <w:bottom w:val="single" w:sz="2" w:space="0" w:color="auto"/>
            </w:tcBorders>
            <w:vAlign w:val="bottom"/>
          </w:tcPr>
          <w:p w14:paraId="58836109" w14:textId="77777777" w:rsidR="00C577BA" w:rsidRPr="00A03060" w:rsidRDefault="00C577BA">
            <w:pPr>
              <w:pStyle w:val="PressSign"/>
              <w:rPr>
                <w:noProof w:val="0"/>
              </w:rPr>
            </w:pPr>
          </w:p>
        </w:tc>
      </w:tr>
      <w:tr w:rsidR="00C577BA" w:rsidRPr="00A03060" w14:paraId="4EA8B59F" w14:textId="77777777">
        <w:trPr>
          <w:cantSplit/>
          <w:trHeight w:hRule="exact" w:val="907"/>
        </w:trPr>
        <w:tc>
          <w:tcPr>
            <w:tcW w:w="6521" w:type="dxa"/>
            <w:tcBorders>
              <w:top w:val="single" w:sz="2" w:space="0" w:color="auto"/>
              <w:bottom w:val="nil"/>
            </w:tcBorders>
          </w:tcPr>
          <w:p w14:paraId="6BA04507" w14:textId="62BC21DB" w:rsidR="00C577BA" w:rsidRPr="00380D67" w:rsidRDefault="00395FEE">
            <w:pPr>
              <w:pStyle w:val="Company"/>
              <w:rPr>
                <w:noProof w:val="0"/>
                <w:lang w:val="en-US"/>
              </w:rPr>
            </w:pPr>
            <w:r w:rsidRPr="00380D67">
              <w:rPr>
                <w:noProof w:val="0"/>
                <w:lang w:val="en-US"/>
              </w:rPr>
              <w:t>von Siemens</w:t>
            </w:r>
            <w:r w:rsidR="00277211" w:rsidRPr="00380D67">
              <w:rPr>
                <w:noProof w:val="0"/>
                <w:lang w:val="en-US"/>
              </w:rPr>
              <w:t xml:space="preserve"> und </w:t>
            </w:r>
            <w:r w:rsidR="002A5591" w:rsidRPr="00380D67">
              <w:rPr>
                <w:noProof w:val="0"/>
                <w:lang w:val="en-US"/>
              </w:rPr>
              <w:t>T</w:t>
            </w:r>
            <w:r w:rsidR="00277211" w:rsidRPr="00380D67">
              <w:rPr>
                <w:noProof w:val="0"/>
                <w:lang w:val="en-US"/>
              </w:rPr>
              <w:t>ogether for Sustainability</w:t>
            </w:r>
          </w:p>
        </w:tc>
        <w:tc>
          <w:tcPr>
            <w:tcW w:w="3119" w:type="dxa"/>
            <w:tcBorders>
              <w:top w:val="single" w:sz="2" w:space="0" w:color="auto"/>
              <w:bottom w:val="nil"/>
            </w:tcBorders>
          </w:tcPr>
          <w:p w14:paraId="7E84FB46" w14:textId="74D8D228" w:rsidR="00C577BA" w:rsidRPr="00A03060" w:rsidRDefault="00277211">
            <w:pPr>
              <w:pStyle w:val="Datum1"/>
            </w:pPr>
            <w:r w:rsidRPr="00A03060">
              <w:t>München</w:t>
            </w:r>
            <w:r w:rsidR="00395FEE" w:rsidRPr="00A03060">
              <w:t xml:space="preserve">, </w:t>
            </w:r>
            <w:r w:rsidRPr="00A03060">
              <w:t>16.</w:t>
            </w:r>
            <w:r w:rsidR="009E458E">
              <w:t> </w:t>
            </w:r>
            <w:r w:rsidRPr="00A03060">
              <w:t>Mai 2023</w:t>
            </w:r>
          </w:p>
        </w:tc>
      </w:tr>
      <w:tr w:rsidR="00C577BA" w:rsidRPr="00A03060" w14:paraId="479A34D2" w14:textId="77777777">
        <w:trPr>
          <w:cantSplit/>
          <w:trHeight w:hRule="exact" w:val="397"/>
        </w:trPr>
        <w:tc>
          <w:tcPr>
            <w:tcW w:w="8222" w:type="dxa"/>
            <w:gridSpan w:val="2"/>
            <w:tcBorders>
              <w:top w:val="nil"/>
              <w:bottom w:val="nil"/>
            </w:tcBorders>
          </w:tcPr>
          <w:p w14:paraId="394C8514" w14:textId="5761E6D0" w:rsidR="00C577BA" w:rsidRPr="00A03060" w:rsidRDefault="00C577BA">
            <w:pPr>
              <w:pStyle w:val="ExhibitionInfo"/>
            </w:pPr>
          </w:p>
        </w:tc>
      </w:tr>
    </w:tbl>
    <w:tbl>
      <w:tblPr>
        <w:tblW w:w="9640" w:type="dxa"/>
        <w:tblLayout w:type="fixed"/>
        <w:tblCellMar>
          <w:left w:w="0" w:type="dxa"/>
          <w:right w:w="0" w:type="dxa"/>
        </w:tblCellMar>
        <w:tblLook w:val="0000" w:firstRow="0" w:lastRow="0" w:firstColumn="0" w:lastColumn="0" w:noHBand="0" w:noVBand="0"/>
      </w:tblPr>
      <w:tblGrid>
        <w:gridCol w:w="3213"/>
        <w:gridCol w:w="3213"/>
        <w:gridCol w:w="3214"/>
      </w:tblGrid>
      <w:tr w:rsidR="00C577BA" w:rsidRPr="00A03060" w14:paraId="28D9F083" w14:textId="77777777">
        <w:trPr>
          <w:cantSplit/>
          <w:trHeight w:hRule="exact" w:val="964"/>
        </w:trPr>
        <w:tc>
          <w:tcPr>
            <w:tcW w:w="3213" w:type="dxa"/>
            <w:tcBorders>
              <w:bottom w:val="single" w:sz="2" w:space="0" w:color="auto"/>
            </w:tcBorders>
            <w:shd w:val="clear" w:color="auto" w:fill="auto"/>
            <w:vAlign w:val="bottom"/>
          </w:tcPr>
          <w:p w14:paraId="01E92CFE" w14:textId="77777777" w:rsidR="00C577BA" w:rsidRPr="00A03060" w:rsidRDefault="00395FEE">
            <w:pPr>
              <w:pStyle w:val="Logo1"/>
              <w:framePr w:w="9639" w:wrap="around" w:vAnchor="page" w:hAnchor="page" w:x="1141" w:y="13201"/>
              <w:suppressOverlap/>
              <w:rPr>
                <w:noProof w:val="0"/>
              </w:rPr>
            </w:pPr>
            <w:r w:rsidRPr="00A03060">
              <w:rPr>
                <w:lang w:eastAsia="en-US"/>
              </w:rPr>
              <w:drawing>
                <wp:inline distT="0" distB="0" distL="0" distR="0" wp14:anchorId="0DB923A0" wp14:editId="12985B17">
                  <wp:extent cx="1257300" cy="209550"/>
                  <wp:effectExtent l="19050" t="0" r="0" b="0"/>
                  <wp:docPr id="1" name="Grafik 1" descr="sie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e_logo_black_rgb"/>
                          <pic:cNvPicPr>
                            <a:picLocks noChangeAspect="1" noChangeArrowheads="1"/>
                          </pic:cNvPicPr>
                        </pic:nvPicPr>
                        <pic:blipFill>
                          <a:blip r:embed="rId8" cstate="print"/>
                          <a:srcRect/>
                          <a:stretch>
                            <a:fillRect/>
                          </a:stretch>
                        </pic:blipFill>
                        <pic:spPr bwMode="auto">
                          <a:xfrm>
                            <a:off x="0" y="0"/>
                            <a:ext cx="1257300" cy="209550"/>
                          </a:xfrm>
                          <a:prstGeom prst="rect">
                            <a:avLst/>
                          </a:prstGeom>
                          <a:noFill/>
                          <a:ln w="9525">
                            <a:noFill/>
                            <a:miter lim="800000"/>
                            <a:headEnd/>
                            <a:tailEnd/>
                          </a:ln>
                        </pic:spPr>
                      </pic:pic>
                    </a:graphicData>
                  </a:graphic>
                </wp:inline>
              </w:drawing>
            </w:r>
          </w:p>
        </w:tc>
        <w:tc>
          <w:tcPr>
            <w:tcW w:w="3213" w:type="dxa"/>
            <w:tcBorders>
              <w:bottom w:val="single" w:sz="2" w:space="0" w:color="auto"/>
            </w:tcBorders>
            <w:shd w:val="clear" w:color="auto" w:fill="auto"/>
            <w:vAlign w:val="bottom"/>
          </w:tcPr>
          <w:p w14:paraId="696FB170" w14:textId="658DCD56" w:rsidR="00C577BA" w:rsidRPr="00A03060" w:rsidRDefault="00153DB0">
            <w:pPr>
              <w:pStyle w:val="Logo2"/>
              <w:framePr w:w="9639" w:wrap="around" w:vAnchor="page" w:hAnchor="page" w:x="1141" w:y="13201"/>
              <w:suppressOverlap/>
              <w:rPr>
                <w:noProof w:val="0"/>
              </w:rPr>
            </w:pPr>
            <w:r w:rsidRPr="00A03060">
              <w:drawing>
                <wp:inline distT="0" distB="0" distL="0" distR="0" wp14:anchorId="0C0B37F5" wp14:editId="256E7212">
                  <wp:extent cx="1256400" cy="428032"/>
                  <wp:effectExtent l="0" t="0" r="1270" b="0"/>
                  <wp:docPr id="142135610" name="Grafik 14213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6400" cy="428032"/>
                          </a:xfrm>
                          <a:prstGeom prst="rect">
                            <a:avLst/>
                          </a:prstGeom>
                        </pic:spPr>
                      </pic:pic>
                    </a:graphicData>
                  </a:graphic>
                </wp:inline>
              </w:drawing>
            </w:r>
          </w:p>
        </w:tc>
        <w:tc>
          <w:tcPr>
            <w:tcW w:w="3214" w:type="dxa"/>
            <w:tcBorders>
              <w:bottom w:val="single" w:sz="2" w:space="0" w:color="auto"/>
            </w:tcBorders>
            <w:vAlign w:val="bottom"/>
          </w:tcPr>
          <w:p w14:paraId="7CF6F31F" w14:textId="11662C81" w:rsidR="00C577BA" w:rsidRPr="00A03060" w:rsidRDefault="00C577BA">
            <w:pPr>
              <w:pStyle w:val="Logo3"/>
              <w:framePr w:w="9639" w:wrap="around" w:vAnchor="page" w:hAnchor="page" w:x="1141" w:y="13201"/>
              <w:suppressOverlap/>
              <w:rPr>
                <w:noProof w:val="0"/>
              </w:rPr>
            </w:pPr>
          </w:p>
        </w:tc>
      </w:tr>
      <w:tr w:rsidR="00C577BA" w:rsidRPr="00A03060" w14:paraId="6B395A19" w14:textId="77777777">
        <w:trPr>
          <w:cantSplit/>
          <w:trHeight w:hRule="exact" w:val="1928"/>
        </w:trPr>
        <w:tc>
          <w:tcPr>
            <w:tcW w:w="3213" w:type="dxa"/>
            <w:tcBorders>
              <w:top w:val="single" w:sz="2" w:space="0" w:color="auto"/>
            </w:tcBorders>
            <w:shd w:val="clear" w:color="auto" w:fill="auto"/>
          </w:tcPr>
          <w:p w14:paraId="4BEC9BFE" w14:textId="77777777" w:rsidR="00C577BA" w:rsidRPr="00A03060" w:rsidRDefault="00395FEE">
            <w:pPr>
              <w:pStyle w:val="Footer1Z1"/>
              <w:framePr w:w="9639" w:wrap="around" w:vAnchor="page" w:hAnchor="page" w:x="1141" w:y="13201"/>
              <w:suppressOverlap/>
            </w:pPr>
            <w:r w:rsidRPr="00A03060">
              <w:t>Siemens AG</w:t>
            </w:r>
          </w:p>
          <w:p w14:paraId="4F294746" w14:textId="0F1BA9E4" w:rsidR="00C577BA" w:rsidRPr="00A03060" w:rsidRDefault="00395FEE">
            <w:pPr>
              <w:pStyle w:val="Footer1"/>
              <w:framePr w:w="9639" w:wrap="around" w:vAnchor="page" w:hAnchor="page" w:x="1141" w:y="13201"/>
              <w:suppressOverlap/>
            </w:pPr>
            <w:r w:rsidRPr="00A03060">
              <w:t>Werner-von-Siemens-Straße 1</w:t>
            </w:r>
            <w:r w:rsidRPr="00A03060">
              <w:br/>
              <w:t>80333 München</w:t>
            </w:r>
            <w:r w:rsidRPr="00A03060">
              <w:br/>
              <w:t>Deutschland</w:t>
            </w:r>
          </w:p>
        </w:tc>
        <w:tc>
          <w:tcPr>
            <w:tcW w:w="3213" w:type="dxa"/>
            <w:tcBorders>
              <w:top w:val="single" w:sz="2" w:space="0" w:color="auto"/>
            </w:tcBorders>
            <w:shd w:val="clear" w:color="auto" w:fill="auto"/>
          </w:tcPr>
          <w:p w14:paraId="6FDF2E25" w14:textId="77777777" w:rsidR="00153DB0" w:rsidRPr="00380D67" w:rsidRDefault="00153DB0" w:rsidP="00153DB0">
            <w:pPr>
              <w:pStyle w:val="Footer3Z1"/>
              <w:framePr w:w="9639" w:wrap="around" w:vAnchor="page" w:hAnchor="page" w:x="1141" w:y="13201"/>
              <w:suppressOverlap/>
              <w:rPr>
                <w:lang w:val="en-US"/>
              </w:rPr>
            </w:pPr>
            <w:r w:rsidRPr="00380D67">
              <w:rPr>
                <w:lang w:val="en-US"/>
              </w:rPr>
              <w:t>Together for Sustainability</w:t>
            </w:r>
          </w:p>
          <w:p w14:paraId="03FBFAFC" w14:textId="393FC4F6" w:rsidR="00C577BA" w:rsidRPr="00380D67" w:rsidRDefault="00153DB0" w:rsidP="005A1A3A">
            <w:pPr>
              <w:pStyle w:val="Footer3"/>
              <w:framePr w:w="9639" w:wrap="around" w:vAnchor="page" w:hAnchor="page" w:x="1141" w:y="13201"/>
              <w:suppressOverlap/>
              <w:rPr>
                <w:lang w:val="en-US"/>
              </w:rPr>
            </w:pPr>
            <w:r w:rsidRPr="00380D67">
              <w:rPr>
                <w:lang w:val="en-US"/>
              </w:rPr>
              <w:t>Rue Belliard 40</w:t>
            </w:r>
            <w:r w:rsidR="00216891" w:rsidRPr="00380D67">
              <w:rPr>
                <w:lang w:val="en-US"/>
              </w:rPr>
              <w:br/>
            </w:r>
            <w:r w:rsidRPr="00380D67">
              <w:rPr>
                <w:lang w:val="en-US"/>
              </w:rPr>
              <w:t>1040 Brüssel</w:t>
            </w:r>
            <w:r w:rsidR="00216891" w:rsidRPr="00380D67">
              <w:rPr>
                <w:lang w:val="en-US"/>
              </w:rPr>
              <w:br/>
            </w:r>
            <w:r w:rsidRPr="00380D67">
              <w:rPr>
                <w:lang w:val="en-US"/>
              </w:rPr>
              <w:t>Belgien</w:t>
            </w:r>
          </w:p>
        </w:tc>
        <w:tc>
          <w:tcPr>
            <w:tcW w:w="3214" w:type="dxa"/>
            <w:tcBorders>
              <w:top w:val="single" w:sz="2" w:space="0" w:color="auto"/>
            </w:tcBorders>
          </w:tcPr>
          <w:p w14:paraId="25DB5ADB" w14:textId="326F400B" w:rsidR="00C577BA" w:rsidRPr="00380D67" w:rsidRDefault="00C577BA">
            <w:pPr>
              <w:pStyle w:val="Footer3"/>
              <w:framePr w:w="9639" w:wrap="around" w:vAnchor="page" w:hAnchor="page" w:x="1141" w:y="13201"/>
              <w:suppressOverlap/>
              <w:rPr>
                <w:lang w:val="en-US"/>
              </w:rPr>
            </w:pPr>
          </w:p>
        </w:tc>
      </w:tr>
      <w:tr w:rsidR="00C577BA" w:rsidRPr="00A03060" w14:paraId="18D2FCEC" w14:textId="77777777">
        <w:trPr>
          <w:cantSplit/>
          <w:trHeight w:hRule="exact" w:val="181"/>
        </w:trPr>
        <w:tc>
          <w:tcPr>
            <w:tcW w:w="9640" w:type="dxa"/>
            <w:gridSpan w:val="3"/>
          </w:tcPr>
          <w:p w14:paraId="1242696C" w14:textId="77777777" w:rsidR="00C577BA" w:rsidRPr="00A03060" w:rsidRDefault="00395FEE">
            <w:pPr>
              <w:pStyle w:val="ReferenceNumber"/>
              <w:framePr w:w="9639" w:wrap="around" w:vAnchor="page" w:hAnchor="page" w:x="1141" w:y="13201"/>
              <w:suppressOverlap/>
              <w:rPr>
                <w:noProof w:val="0"/>
              </w:rPr>
            </w:pPr>
            <w:r w:rsidRPr="00A03060">
              <w:rPr>
                <w:noProof w:val="0"/>
              </w:rPr>
              <w:t>Informationsnummer:</w:t>
            </w:r>
            <w:r w:rsidRPr="00A03060">
              <w:rPr>
                <w:noProof w:val="0"/>
              </w:rPr>
              <w:fldChar w:fldCharType="begin"/>
            </w:r>
            <w:r w:rsidRPr="00A03060">
              <w:rPr>
                <w:noProof w:val="0"/>
              </w:rPr>
              <w:instrText xml:space="preserve"> MACROBUTTON  Abbrechen </w:instrText>
            </w:r>
            <w:r w:rsidRPr="00A03060">
              <w:rPr>
                <w:noProof w:val="0"/>
              </w:rPr>
              <w:fldChar w:fldCharType="end"/>
            </w:r>
            <w:r w:rsidRPr="00A03060">
              <w:rPr>
                <w:noProof w:val="0"/>
              </w:rPr>
              <w:t xml:space="preserve"> </w:t>
            </w:r>
            <w:r w:rsidRPr="00A03060">
              <w:rPr>
                <w:noProof w:val="0"/>
              </w:rPr>
              <w:fldChar w:fldCharType="begin">
                <w:ffData>
                  <w:name w:val=""/>
                  <w:enabled/>
                  <w:calcOnExit w:val="0"/>
                  <w:textInput>
                    <w:default w:val="ABCDJJJJMM.xxx d"/>
                  </w:textInput>
                </w:ffData>
              </w:fldChar>
            </w:r>
            <w:r w:rsidRPr="00A03060">
              <w:rPr>
                <w:noProof w:val="0"/>
              </w:rPr>
              <w:instrText xml:space="preserve"> FORMTEXT </w:instrText>
            </w:r>
            <w:r w:rsidRPr="00A03060">
              <w:rPr>
                <w:noProof w:val="0"/>
              </w:rPr>
            </w:r>
            <w:r w:rsidRPr="00A03060">
              <w:rPr>
                <w:noProof w:val="0"/>
              </w:rPr>
              <w:fldChar w:fldCharType="separate"/>
            </w:r>
            <w:r w:rsidRPr="00A03060">
              <w:rPr>
                <w:noProof w:val="0"/>
              </w:rPr>
              <w:t>ABCDJJJJMM.xxx d</w:t>
            </w:r>
            <w:r w:rsidRPr="00A03060">
              <w:rPr>
                <w:noProof w:val="0"/>
              </w:rPr>
              <w:fldChar w:fldCharType="end"/>
            </w:r>
          </w:p>
        </w:tc>
      </w:tr>
    </w:tbl>
    <w:p w14:paraId="713DB569" w14:textId="77777777" w:rsidR="00C577BA" w:rsidRPr="00A03060" w:rsidRDefault="00C577BA">
      <w:pPr>
        <w:framePr w:w="9639" w:wrap="around" w:vAnchor="page" w:hAnchor="page" w:x="1141" w:y="13201"/>
        <w:spacing w:line="14" w:lineRule="exact"/>
        <w:suppressOverlap/>
        <w:rPr>
          <w:lang w:val="de-DE"/>
        </w:rPr>
      </w:pPr>
    </w:p>
    <w:p w14:paraId="2D0DDF44" w14:textId="5108A94B" w:rsidR="00277211" w:rsidRPr="00A03060" w:rsidRDefault="00277211" w:rsidP="00277211">
      <w:pPr>
        <w:pStyle w:val="Headline"/>
        <w:ind w:right="-144"/>
      </w:pPr>
      <w:r w:rsidRPr="00A03060">
        <w:t xml:space="preserve">Chemiebranche setzt bei Pilotprojekt zur Dekarbonisierung </w:t>
      </w:r>
      <w:r w:rsidR="005624E4" w:rsidRPr="00A03060">
        <w:t>der</w:t>
      </w:r>
      <w:r w:rsidRPr="00A03060">
        <w:t xml:space="preserve"> Lieferkette auf Partnerschaft mit Siemens</w:t>
      </w:r>
    </w:p>
    <w:p w14:paraId="38677508" w14:textId="77777777" w:rsidR="00C577BA" w:rsidRPr="00A03060" w:rsidRDefault="00C577BA">
      <w:pPr>
        <w:pStyle w:val="Bodytext"/>
      </w:pPr>
    </w:p>
    <w:p w14:paraId="01F24D61" w14:textId="75B33192" w:rsidR="00277211" w:rsidRPr="00A03060" w:rsidRDefault="00277211" w:rsidP="00277211">
      <w:pPr>
        <w:pStyle w:val="BulletsListing"/>
        <w:numPr>
          <w:ilvl w:val="0"/>
          <w:numId w:val="19"/>
        </w:numPr>
      </w:pPr>
      <w:r w:rsidRPr="00A03060">
        <w:t>Together for Sustainability – eine Initiative von 47</w:t>
      </w:r>
      <w:r w:rsidR="005E2B23" w:rsidRPr="00A03060">
        <w:t> </w:t>
      </w:r>
      <w:r w:rsidRPr="00A03060">
        <w:t>Chemieunternehmen – wählt die „Sigreen“-Lösung von Siemens zum digitalen Austausch von Daten zum CO</w:t>
      </w:r>
      <w:r w:rsidRPr="00A03060">
        <w:rPr>
          <w:vertAlign w:val="subscript"/>
        </w:rPr>
        <w:t>2</w:t>
      </w:r>
      <w:r w:rsidRPr="00A03060">
        <w:t>-Fußabdruck eines Produkts (PCF)</w:t>
      </w:r>
    </w:p>
    <w:p w14:paraId="478F2ED2" w14:textId="77777777" w:rsidR="00277211" w:rsidRPr="00A03060" w:rsidRDefault="00277211" w:rsidP="00277211">
      <w:pPr>
        <w:pStyle w:val="BulletsListing"/>
        <w:numPr>
          <w:ilvl w:val="0"/>
          <w:numId w:val="19"/>
        </w:numPr>
      </w:pPr>
      <w:r w:rsidRPr="00A03060">
        <w:t>Ziel des Pilotprojekts ist, die Skalierbarkeit des PCF-Datenaustauschs für eine ganze Branche zu demonstrieren</w:t>
      </w:r>
    </w:p>
    <w:p w14:paraId="5B040B0D" w14:textId="77777777" w:rsidR="00277211" w:rsidRPr="00A03060" w:rsidRDefault="00277211" w:rsidP="00277211">
      <w:pPr>
        <w:pStyle w:val="BulletsListing"/>
        <w:numPr>
          <w:ilvl w:val="0"/>
          <w:numId w:val="19"/>
        </w:numPr>
      </w:pPr>
      <w:r w:rsidRPr="00A03060">
        <w:t>Chemieindustrie ist Vorreiter im Bereich Umweltdaten auf Produktebene</w:t>
      </w:r>
    </w:p>
    <w:p w14:paraId="7AD887DB" w14:textId="77777777" w:rsidR="00C577BA" w:rsidRPr="00A03060" w:rsidRDefault="00C577BA">
      <w:pPr>
        <w:pStyle w:val="Bodytext"/>
      </w:pPr>
    </w:p>
    <w:p w14:paraId="748B5A58" w14:textId="155FC373" w:rsidR="00277211" w:rsidRPr="00A03060" w:rsidRDefault="00277211" w:rsidP="00277211">
      <w:pPr>
        <w:pStyle w:val="Bodytext"/>
      </w:pPr>
      <w:r w:rsidRPr="00A03060">
        <w:t xml:space="preserve">Together for Sustainability (TfS) und Siemens </w:t>
      </w:r>
      <w:r w:rsidR="008A3037" w:rsidRPr="00A03060">
        <w:t>wollen</w:t>
      </w:r>
      <w:r w:rsidRPr="00A03060">
        <w:t xml:space="preserve"> im Bereich Dekarbonisierung eine Partnerschaft eingehen, um die Nachhaltigkeit in der Chemieindustrie voranzutreiben. TfS ist eine globale Initiative zur Förderung von Nachhaltigkeit in der Lieferkette der Chemieindustrie. Sie besteht aus 47 internationalen Unternehmen, darunter einige der größten Chemiekonzerne. Siemens, ein führendes Technologieunternehmen und Anbieter von Automatisierungslösungen sowie industrieller Software, wird seine Sigreen-Lösung in das Projekt einbringen; Sigreen ist ein Tool zum </w:t>
      </w:r>
      <w:r w:rsidR="005624E4" w:rsidRPr="00A03060">
        <w:t xml:space="preserve">Management und </w:t>
      </w:r>
      <w:r w:rsidRPr="00A03060">
        <w:t xml:space="preserve">Tracking </w:t>
      </w:r>
      <w:r w:rsidR="005624E4" w:rsidRPr="00A03060">
        <w:t xml:space="preserve">des </w:t>
      </w:r>
      <w:r w:rsidRPr="00A03060">
        <w:t>CO</w:t>
      </w:r>
      <w:r w:rsidRPr="00A03060">
        <w:rPr>
          <w:vertAlign w:val="subscript"/>
        </w:rPr>
        <w:t>2</w:t>
      </w:r>
      <w:r w:rsidRPr="00A03060">
        <w:t>-Fußabdrucks eines Produkts (</w:t>
      </w:r>
      <w:r w:rsidR="0005660F">
        <w:t xml:space="preserve">Product Carbon Footprint, </w:t>
      </w:r>
      <w:r w:rsidRPr="00A03060">
        <w:t>PCF) und Teil des Portfolios von Siemens Xcelerator.</w:t>
      </w:r>
    </w:p>
    <w:p w14:paraId="2115D835" w14:textId="77777777" w:rsidR="00277211" w:rsidRPr="00A03060" w:rsidRDefault="00277211" w:rsidP="00277211">
      <w:pPr>
        <w:pStyle w:val="Bodytext"/>
        <w:rPr>
          <w:rFonts w:cs="Arial"/>
        </w:rPr>
      </w:pPr>
    </w:p>
    <w:p w14:paraId="5E143501" w14:textId="294AB3A8" w:rsidR="00277211" w:rsidRPr="00A03060" w:rsidRDefault="00277211" w:rsidP="00277211">
      <w:pPr>
        <w:pStyle w:val="Bodytext"/>
        <w:rPr>
          <w:rFonts w:cs="Arial"/>
        </w:rPr>
      </w:pPr>
      <w:r w:rsidRPr="00A03060">
        <w:rPr>
          <w:rFonts w:cs="Arial"/>
        </w:rPr>
        <w:t xml:space="preserve">Die beiden Partner bündeln ihre Expertise in einem Pilotprojekt und verfolgen das Ziel, die Skalierbarkeit des PCF-Datenaustauschs in einer gesamten Branche zu </w:t>
      </w:r>
      <w:r w:rsidRPr="00A03060">
        <w:rPr>
          <w:rFonts w:cs="Arial"/>
        </w:rPr>
        <w:lastRenderedPageBreak/>
        <w:t xml:space="preserve">demonstrieren – ein entscheidender Schritt für die Dekarbonisierung des Sektors. Die Sigreen-Lösung wird in diesem Projekt erprobt und Erkenntnisse über den Austausch von PCF-Daten in der Chemieindustrie liefern. In einem nächsten Schritt kann Sigreen auf </w:t>
      </w:r>
      <w:r w:rsidR="00070E4F" w:rsidRPr="00A03060">
        <w:rPr>
          <w:rFonts w:cs="Arial"/>
        </w:rPr>
        <w:t xml:space="preserve">alle </w:t>
      </w:r>
      <w:r w:rsidRPr="00A03060">
        <w:rPr>
          <w:rFonts w:cs="Arial"/>
        </w:rPr>
        <w:t>TfS-Mitglieder ausgeweitet werden und so dazu beitragen, dass deren Expertise als Vorreiter im Bereich PCF weiter verbessert wird.</w:t>
      </w:r>
    </w:p>
    <w:p w14:paraId="51736BB9" w14:textId="222BA420" w:rsidR="00C577BA" w:rsidRPr="00A03060" w:rsidRDefault="00C577BA">
      <w:pPr>
        <w:pStyle w:val="Bodytext"/>
      </w:pPr>
    </w:p>
    <w:p w14:paraId="1E6BBA06" w14:textId="679A6C7A" w:rsidR="00277211" w:rsidRPr="00A03060" w:rsidRDefault="00277211" w:rsidP="00277211">
      <w:pPr>
        <w:spacing w:line="360" w:lineRule="auto"/>
        <w:rPr>
          <w:rFonts w:ascii="Arial" w:eastAsiaTheme="minorEastAsia" w:hAnsi="Arial" w:cs="Arial"/>
          <w:lang w:val="de-DE"/>
        </w:rPr>
      </w:pPr>
      <w:r w:rsidRPr="00A03060">
        <w:rPr>
          <w:rFonts w:ascii="Arial" w:eastAsia="Times New Roman" w:hAnsi="Arial" w:cs="Arial"/>
          <w:szCs w:val="20"/>
          <w:lang w:val="de-DE" w:eastAsia="de-DE"/>
        </w:rPr>
        <w:t>„Die Partnerschaft mit TfS ist ein wichtiger Schritt für die weltweite Chemieindustrie. Damit unterstützen wir eine ganze Branche, nachhaltiger zu werden! Das ist eine Blaupause für andere Industrien“, sagt</w:t>
      </w:r>
      <w:r w:rsidR="008C1395" w:rsidRPr="00A03060">
        <w:rPr>
          <w:rFonts w:ascii="Arial" w:eastAsia="Times New Roman" w:hAnsi="Arial" w:cs="Arial"/>
          <w:szCs w:val="20"/>
          <w:lang w:val="de-DE" w:eastAsia="de-DE"/>
        </w:rPr>
        <w:t>e</w:t>
      </w:r>
      <w:r w:rsidRPr="00A03060">
        <w:rPr>
          <w:rFonts w:ascii="Arial" w:eastAsia="Times New Roman" w:hAnsi="Arial" w:cs="Arial"/>
          <w:szCs w:val="20"/>
          <w:lang w:val="de-DE" w:eastAsia="de-DE"/>
        </w:rPr>
        <w:t xml:space="preserve"> Roland Busch, Vorstandsvorsitzender der Siemens</w:t>
      </w:r>
      <w:r w:rsidR="00070E4F" w:rsidRPr="00A03060">
        <w:rPr>
          <w:rFonts w:ascii="Arial" w:eastAsia="Times New Roman" w:hAnsi="Arial" w:cs="Arial"/>
          <w:szCs w:val="20"/>
          <w:lang w:val="de-DE" w:eastAsia="de-DE"/>
        </w:rPr>
        <w:t> </w:t>
      </w:r>
      <w:r w:rsidRPr="00A03060">
        <w:rPr>
          <w:rFonts w:ascii="Arial" w:eastAsia="Times New Roman" w:hAnsi="Arial" w:cs="Arial"/>
          <w:szCs w:val="20"/>
          <w:lang w:val="de-DE" w:eastAsia="de-DE"/>
        </w:rPr>
        <w:t>AG. „Mit Sigreen können Unternehmen Emissionsdaten der Lieferkette sicher und</w:t>
      </w:r>
      <w:r w:rsidRPr="00A03060">
        <w:rPr>
          <w:rFonts w:ascii="Arial" w:hAnsi="Arial" w:cs="Arial"/>
          <w:color w:val="000000"/>
          <w:lang w:val="de-DE"/>
        </w:rPr>
        <w:t xml:space="preserve"> vertrauensvoll austauschen. Mit diesen Informationen können sie bessere Entscheidungen treffen, um ihren </w:t>
      </w:r>
      <w:r w:rsidRPr="00A03060">
        <w:rPr>
          <w:rFonts w:ascii="Arial" w:hAnsi="Arial" w:cs="Arial"/>
          <w:lang w:val="de-DE"/>
        </w:rPr>
        <w:t>CO</w:t>
      </w:r>
      <w:r w:rsidRPr="00A03060">
        <w:rPr>
          <w:rFonts w:ascii="Arial" w:hAnsi="Arial" w:cs="Arial"/>
          <w:vertAlign w:val="subscript"/>
          <w:lang w:val="de-DE"/>
        </w:rPr>
        <w:t>2</w:t>
      </w:r>
      <w:r w:rsidRPr="00A03060">
        <w:rPr>
          <w:rFonts w:ascii="Arial" w:hAnsi="Arial" w:cs="Arial"/>
          <w:color w:val="000000"/>
          <w:lang w:val="de-DE"/>
        </w:rPr>
        <w:t>-Fußabdruck zu senken.</w:t>
      </w:r>
      <w:r w:rsidR="008C1395" w:rsidRPr="00A03060">
        <w:rPr>
          <w:rFonts w:ascii="Arial" w:hAnsi="Arial" w:cs="Arial"/>
          <w:color w:val="000000"/>
          <w:lang w:val="de-DE"/>
        </w:rPr>
        <w:t>“</w:t>
      </w:r>
    </w:p>
    <w:p w14:paraId="25CC4CA0" w14:textId="77777777" w:rsidR="00277211" w:rsidRPr="00A03060" w:rsidRDefault="00277211" w:rsidP="00277211">
      <w:pPr>
        <w:pStyle w:val="Bodytext"/>
      </w:pPr>
    </w:p>
    <w:p w14:paraId="29A464CD" w14:textId="0C424028" w:rsidR="00277211" w:rsidRPr="00A03060" w:rsidRDefault="00277211" w:rsidP="00277211">
      <w:pPr>
        <w:pStyle w:val="Bodytext"/>
      </w:pPr>
      <w:r w:rsidRPr="00A03060">
        <w:t xml:space="preserve">„Mit Sigreen haben wir die ideale Lösung, um unsere Product Carbon Footprint Guideline in großem Umfang in unsere </w:t>
      </w:r>
      <w:r w:rsidR="00F236CC">
        <w:t>Pro</w:t>
      </w:r>
      <w:r w:rsidR="00D31B08">
        <w:t>z</w:t>
      </w:r>
      <w:r w:rsidR="00F236CC">
        <w:t>esse</w:t>
      </w:r>
      <w:r w:rsidR="00D31B08">
        <w:t xml:space="preserve"> </w:t>
      </w:r>
      <w:r w:rsidR="005624E4" w:rsidRPr="00A03060">
        <w:t>einzubinden</w:t>
      </w:r>
      <w:r w:rsidRPr="00A03060">
        <w:t>. Damit werden wir in der Lage sein, die Scope-3-Herausforderung der chemischen Industrie zu bewältigen. Die TfS-Mitglieder, ihre Lieferanten und Kunden freuen sich darauf, die von Sigreen angebotene Lösung zum Datenaustausch zu testen. Eine von Vertrauen geprägte Umgebung, in der alle Partner ihre PCF-Daten auf der Grundlage des PCF-Leitfadens von Together for Sustainability sicher austauschen können, ist ein entscheidender Schritt und ein wichtiger Hebel, um die Dekarbonisierung in der chemischen Industrie voranzutreiben“, sagt</w:t>
      </w:r>
      <w:r w:rsidR="00617E70" w:rsidRPr="00A03060">
        <w:t>e</w:t>
      </w:r>
      <w:r w:rsidRPr="00A03060">
        <w:t xml:space="preserve"> Bertrand Conquéret, Präsident von Together for Sustainability.</w:t>
      </w:r>
    </w:p>
    <w:p w14:paraId="22BBDBAD" w14:textId="77777777" w:rsidR="00277211" w:rsidRPr="00A03060" w:rsidRDefault="00277211" w:rsidP="00277211">
      <w:pPr>
        <w:pStyle w:val="Bodytext"/>
      </w:pPr>
    </w:p>
    <w:p w14:paraId="1BE72F1A" w14:textId="64A3FCA5" w:rsidR="00277211" w:rsidRPr="00A03060" w:rsidRDefault="00277211" w:rsidP="00277211">
      <w:pPr>
        <w:pStyle w:val="Bodytext"/>
      </w:pPr>
      <w:r w:rsidRPr="00A03060">
        <w:t>Mit Sigreen lassen sich PCF-Daten entlang der Lieferkette sicher und vertrauenswürdig austauschen und mit jenen aus der eigenen Wertschöpfung zu CO</w:t>
      </w:r>
      <w:r w:rsidRPr="00A03060">
        <w:rPr>
          <w:vertAlign w:val="subscript"/>
        </w:rPr>
        <w:t>2</w:t>
      </w:r>
      <w:r w:rsidRPr="00A03060">
        <w:t xml:space="preserve">-Fußabdrücken kombinieren. Unternehmen können so gezielte Reduktionsmaßnahmen mit quantifizierbarer Wirkung ergreifen. Sigreen unterstützt Unternehmen auf ihrem Weg zu klimaneutralen Wertschöpfungsketten und </w:t>
      </w:r>
      <w:r w:rsidRPr="00A03060">
        <w:lastRenderedPageBreak/>
        <w:t>ermöglicht ihnen, Nachhaltigkeit als entscheidenden Wettbewerbsfaktor zu nutzen. Je nach Grad der vertikalen Integration entfallen bis zu 90 Prozent der Emissionen auf die vorgelagerte Lieferkette</w:t>
      </w:r>
      <w:r w:rsidR="00AA23EC" w:rsidRPr="00A03060">
        <w:t xml:space="preserve"> (Quelle</w:t>
      </w:r>
      <w:r w:rsidR="00157EA9" w:rsidRPr="00A03060">
        <w:t>:</w:t>
      </w:r>
      <w:r w:rsidR="00AA23EC" w:rsidRPr="00A03060">
        <w:t xml:space="preserve"> </w:t>
      </w:r>
      <w:hyperlink r:id="rId10" w:history="1">
        <w:r w:rsidR="00AA23EC" w:rsidRPr="00A03060">
          <w:rPr>
            <w:rStyle w:val="Hyperlink"/>
          </w:rPr>
          <w:t>CDP 202</w:t>
        </w:r>
        <w:r w:rsidR="00FB5196" w:rsidRPr="00A03060">
          <w:rPr>
            <w:rStyle w:val="Hyperlink"/>
          </w:rPr>
          <w:t>2</w:t>
        </w:r>
        <w:r w:rsidR="00AA23EC" w:rsidRPr="00A03060">
          <w:rPr>
            <w:rStyle w:val="Hyperlink"/>
          </w:rPr>
          <w:t xml:space="preserve"> Global Supply Chain Report</w:t>
        </w:r>
      </w:hyperlink>
      <w:r w:rsidR="00AA23EC" w:rsidRPr="00A03060">
        <w:t>)</w:t>
      </w:r>
      <w:r w:rsidRPr="00A03060">
        <w:t xml:space="preserve"> – und Sigreen ermöglicht diese wichtige Integration entlang der Wertschöpfungskette.</w:t>
      </w:r>
    </w:p>
    <w:p w14:paraId="0F06B537" w14:textId="77777777" w:rsidR="00277211" w:rsidRPr="00A03060" w:rsidRDefault="00277211" w:rsidP="00277211">
      <w:pPr>
        <w:pStyle w:val="Bodytext"/>
      </w:pPr>
    </w:p>
    <w:p w14:paraId="0F62BE60" w14:textId="77777777" w:rsidR="00277211" w:rsidRPr="00A03060" w:rsidRDefault="00277211" w:rsidP="00277211">
      <w:pPr>
        <w:pStyle w:val="Bodytext"/>
        <w:rPr>
          <w:b/>
          <w:bCs/>
        </w:rPr>
      </w:pPr>
      <w:r w:rsidRPr="00A03060">
        <w:rPr>
          <w:b/>
          <w:bCs/>
        </w:rPr>
        <w:t>Chemiebranche als Vorreiter im Bereich Umweltdaten auf Produktebene</w:t>
      </w:r>
    </w:p>
    <w:p w14:paraId="5A2E0F9D" w14:textId="77777777" w:rsidR="00277211" w:rsidRPr="00A03060" w:rsidRDefault="00277211" w:rsidP="00277211">
      <w:pPr>
        <w:pStyle w:val="Bodytext"/>
      </w:pPr>
      <w:r w:rsidRPr="00A03060">
        <w:t>Alle TfS-Mitglieder setzen sich für die Dekarbonisierung ihrer Lieferketten ein. Im Jahre 2022 hat TfS einen Leitfaden zur Berechnung des CO</w:t>
      </w:r>
      <w:r w:rsidRPr="00A03060">
        <w:rPr>
          <w:vertAlign w:val="subscript"/>
        </w:rPr>
        <w:t>2</w:t>
      </w:r>
      <w:r w:rsidRPr="00A03060">
        <w:t>-Fußabdrucks eingeführt, der die unterschiedlichen Berechnungsansätze in der Branche harmonisiert.</w:t>
      </w:r>
    </w:p>
    <w:p w14:paraId="3419D05B" w14:textId="77777777" w:rsidR="00277211" w:rsidRPr="00A03060" w:rsidRDefault="00277211" w:rsidP="00277211">
      <w:pPr>
        <w:pStyle w:val="Bodytext"/>
      </w:pPr>
    </w:p>
    <w:p w14:paraId="5D5AF020" w14:textId="77777777" w:rsidR="00277211" w:rsidRPr="00A03060" w:rsidRDefault="00277211" w:rsidP="00277211">
      <w:pPr>
        <w:pStyle w:val="Bodytext"/>
      </w:pPr>
      <w:r w:rsidRPr="00A03060">
        <w:t>Mit Sigreen wird nun eine bestehende und standardisierte PCF-Datenaustausch-Lösung über die gesamte Chemiebranche hinweg eingeführt, die den nächsten konsequenten Schritt bei der Ermittlung und dem Management produktspezifischer CO</w:t>
      </w:r>
      <w:r w:rsidRPr="00A03060">
        <w:rPr>
          <w:vertAlign w:val="subscript"/>
        </w:rPr>
        <w:t>2</w:t>
      </w:r>
      <w:r w:rsidRPr="00A03060">
        <w:t>-Fußabdrücke auf Basis von Lieferanten-spezifischen Daten entlang der Lieferkette ermöglicht. Nutzer profitieren von dem branchenübergreifenden Ansatz. Die Sigreen-Lösung ist Teil des Portfolios von Siemens Xcelerator – der offenen digitalen Geschäfts-Plattform, die die digitale Transformation von Unternehmen beschleunigt.</w:t>
      </w:r>
    </w:p>
    <w:p w14:paraId="1B8FBF08" w14:textId="39F7484C" w:rsidR="002A5591" w:rsidRPr="00A03060" w:rsidRDefault="002A5591">
      <w:pPr>
        <w:pStyle w:val="Bodytext"/>
      </w:pPr>
    </w:p>
    <w:p w14:paraId="5E9D673F" w14:textId="77777777" w:rsidR="002A5591" w:rsidRPr="00A03060" w:rsidRDefault="002A5591">
      <w:pPr>
        <w:pStyle w:val="Bodytext"/>
      </w:pPr>
    </w:p>
    <w:p w14:paraId="775D67F0" w14:textId="7C2DFAF1" w:rsidR="002A5591" w:rsidRPr="00A03060" w:rsidRDefault="002A5591" w:rsidP="002A5591">
      <w:pPr>
        <w:pStyle w:val="Bodytext"/>
      </w:pPr>
      <w:r w:rsidRPr="00A03060">
        <w:t xml:space="preserve">Folgen sie uns auf </w:t>
      </w:r>
      <w:r w:rsidR="002E3E84" w:rsidRPr="00A03060">
        <w:t xml:space="preserve">Twitter unter </w:t>
      </w:r>
      <w:hyperlink r:id="rId11">
        <w:r w:rsidR="002E3E84" w:rsidRPr="00A03060">
          <w:rPr>
            <w:rStyle w:val="Hyperlink"/>
            <w:rFonts w:eastAsia="Arial"/>
            <w:szCs w:val="22"/>
          </w:rPr>
          <w:t>www.twitter.com/siemens_press</w:t>
        </w:r>
      </w:hyperlink>
    </w:p>
    <w:p w14:paraId="2B21FD3B" w14:textId="77777777" w:rsidR="00492689" w:rsidRDefault="00492689" w:rsidP="002A5591">
      <w:pPr>
        <w:pStyle w:val="Bodytext"/>
      </w:pPr>
    </w:p>
    <w:p w14:paraId="74492C78" w14:textId="3D060607" w:rsidR="002A5591" w:rsidRPr="00A03060" w:rsidRDefault="002A5591" w:rsidP="002A5591">
      <w:pPr>
        <w:pStyle w:val="Bodytext"/>
        <w:rPr>
          <w:rStyle w:val="Hyperlink"/>
          <w:color w:val="auto"/>
          <w:u w:val="none"/>
        </w:rPr>
      </w:pPr>
      <w:r w:rsidRPr="00A03060">
        <w:t xml:space="preserve">Weitere Informationen zu Sigreen unter </w:t>
      </w:r>
      <w:hyperlink r:id="rId12" w:history="1">
        <w:r w:rsidR="002E3E84" w:rsidRPr="00A03060">
          <w:rPr>
            <w:rStyle w:val="Hyperlink"/>
          </w:rPr>
          <w:t>www.siemens.de/sigreen</w:t>
        </w:r>
      </w:hyperlink>
    </w:p>
    <w:p w14:paraId="6C2D870A" w14:textId="0BCAC968" w:rsidR="002E3E84" w:rsidRPr="00A03060" w:rsidRDefault="002A5591" w:rsidP="00912207">
      <w:pPr>
        <w:pStyle w:val="Bodytext"/>
      </w:pPr>
      <w:r w:rsidRPr="00A03060">
        <w:t>Weiterführende Informationen zu Together for Sustainability</w:t>
      </w:r>
      <w:r w:rsidR="002E3E84" w:rsidRPr="00A03060">
        <w:t xml:space="preserve"> unter</w:t>
      </w:r>
      <w:r w:rsidRPr="00A03060">
        <w:t xml:space="preserve"> </w:t>
      </w:r>
      <w:r w:rsidR="00A0180F" w:rsidRPr="00A03060">
        <w:br/>
      </w:r>
      <w:hyperlink r:id="rId13" w:history="1">
        <w:r w:rsidR="002E3E84" w:rsidRPr="00A03060">
          <w:rPr>
            <w:rStyle w:val="Hyperlink"/>
          </w:rPr>
          <w:t>https://tfs-initiative.com</w:t>
        </w:r>
      </w:hyperlink>
      <w:r w:rsidR="00255E8E" w:rsidRPr="00A03060">
        <w:t xml:space="preserve"> sowie auf </w:t>
      </w:r>
      <w:hyperlink r:id="rId14" w:history="1">
        <w:r w:rsidR="00255E8E" w:rsidRPr="00A03060">
          <w:rPr>
            <w:rStyle w:val="Hyperlink"/>
          </w:rPr>
          <w:t>LinkedIn</w:t>
        </w:r>
      </w:hyperlink>
      <w:r w:rsidR="00912207" w:rsidRPr="00A03060">
        <w:t>.</w:t>
      </w:r>
    </w:p>
    <w:p w14:paraId="350A0FCD" w14:textId="77777777" w:rsidR="002A5591" w:rsidRPr="00A03060" w:rsidRDefault="002A5591">
      <w:pPr>
        <w:pStyle w:val="Bodytext"/>
      </w:pPr>
    </w:p>
    <w:p w14:paraId="4F8C67AD" w14:textId="77777777" w:rsidR="00912207" w:rsidRPr="00A03060" w:rsidRDefault="00912207">
      <w:pPr>
        <w:pStyle w:val="Bodytext"/>
      </w:pPr>
    </w:p>
    <w:p w14:paraId="784B50C3" w14:textId="77777777" w:rsidR="00C577BA" w:rsidRPr="00A03060" w:rsidRDefault="00395FEE" w:rsidP="00883949">
      <w:pPr>
        <w:pStyle w:val="Bodytext"/>
        <w:keepNext/>
        <w:keepLines/>
        <w:rPr>
          <w:b/>
        </w:rPr>
      </w:pPr>
      <w:r w:rsidRPr="00A03060">
        <w:rPr>
          <w:b/>
        </w:rPr>
        <w:lastRenderedPageBreak/>
        <w:t>Ansprechpartner für Journalisten</w:t>
      </w:r>
    </w:p>
    <w:p w14:paraId="24193507" w14:textId="54A36545" w:rsidR="002A5591" w:rsidRPr="00A03060" w:rsidRDefault="00395FEE" w:rsidP="00883949">
      <w:pPr>
        <w:pStyle w:val="Bodytext"/>
        <w:keepNext/>
        <w:keepLines/>
      </w:pPr>
      <w:r w:rsidRPr="00541D74">
        <w:rPr>
          <w:b/>
          <w:bCs/>
        </w:rPr>
        <w:t>Siemens AG</w:t>
      </w:r>
      <w:r w:rsidR="00DD3A59" w:rsidRPr="00A03060">
        <w:br/>
      </w:r>
      <w:r w:rsidR="002A5591" w:rsidRPr="00A03060">
        <w:t>Andreas Friedrich</w:t>
      </w:r>
      <w:r w:rsidR="002A5591" w:rsidRPr="00A03060">
        <w:br/>
        <w:t>Tel.: +49 152</w:t>
      </w:r>
      <w:r w:rsidR="002E3E84" w:rsidRPr="00A03060">
        <w:t xml:space="preserve"> </w:t>
      </w:r>
      <w:r w:rsidR="002A5591" w:rsidRPr="00A03060">
        <w:t>22103967</w:t>
      </w:r>
      <w:r w:rsidR="00210935">
        <w:t xml:space="preserve">; </w:t>
      </w:r>
      <w:r w:rsidR="002A5591" w:rsidRPr="00A03060">
        <w:t xml:space="preserve">E-Mail: </w:t>
      </w:r>
      <w:hyperlink r:id="rId15" w:history="1">
        <w:r w:rsidR="002A5591" w:rsidRPr="00A03060">
          <w:rPr>
            <w:rStyle w:val="Hyperlink"/>
          </w:rPr>
          <w:t>friedrich@siemens.com</w:t>
        </w:r>
      </w:hyperlink>
    </w:p>
    <w:p w14:paraId="2069688D" w14:textId="774FC3E3" w:rsidR="00C577BA" w:rsidRPr="00A03060" w:rsidRDefault="00C577BA" w:rsidP="00883949">
      <w:pPr>
        <w:pStyle w:val="Bodytext"/>
        <w:keepNext/>
        <w:keepLines/>
      </w:pPr>
    </w:p>
    <w:p w14:paraId="39C6D272" w14:textId="48CA5217" w:rsidR="00C577BA" w:rsidRPr="00A03060" w:rsidRDefault="002A5591" w:rsidP="00883949">
      <w:pPr>
        <w:pStyle w:val="Bodytext"/>
        <w:keepNext/>
        <w:keepLines/>
      </w:pPr>
      <w:r w:rsidRPr="00541D74">
        <w:rPr>
          <w:b/>
          <w:bCs/>
        </w:rPr>
        <w:t>Siemens Digital Industries</w:t>
      </w:r>
      <w:r w:rsidR="00E02672" w:rsidRPr="00A03060">
        <w:br/>
      </w:r>
      <w:r w:rsidRPr="00A03060">
        <w:t>Laura Egger</w:t>
      </w:r>
      <w:r w:rsidR="00DA1A23">
        <w:br/>
      </w:r>
      <w:r w:rsidR="00395FEE" w:rsidRPr="00A03060">
        <w:t>Tel.:</w:t>
      </w:r>
      <w:r w:rsidR="002E3E84" w:rsidRPr="00A03060">
        <w:t xml:space="preserve"> +49 152 58963051</w:t>
      </w:r>
      <w:r w:rsidR="00210935">
        <w:t xml:space="preserve">; </w:t>
      </w:r>
      <w:r w:rsidR="00395FEE" w:rsidRPr="00A03060">
        <w:t xml:space="preserve">E-Mail: </w:t>
      </w:r>
      <w:hyperlink r:id="rId16" w:history="1">
        <w:r w:rsidRPr="00A03060">
          <w:rPr>
            <w:rStyle w:val="Hyperlink"/>
          </w:rPr>
          <w:t>laura.egger@siemens.com</w:t>
        </w:r>
      </w:hyperlink>
    </w:p>
    <w:p w14:paraId="1B8435CF" w14:textId="77777777" w:rsidR="00C577BA" w:rsidRPr="00A03060" w:rsidRDefault="00C577BA" w:rsidP="00883949">
      <w:pPr>
        <w:pStyle w:val="Bodytext"/>
        <w:keepNext/>
        <w:keepLines/>
      </w:pPr>
    </w:p>
    <w:p w14:paraId="03208597" w14:textId="6186AFC9" w:rsidR="002A5591" w:rsidRPr="004541DC" w:rsidRDefault="002A5591" w:rsidP="00883949">
      <w:pPr>
        <w:pStyle w:val="Bodytext"/>
        <w:keepNext/>
        <w:keepLines/>
        <w:rPr>
          <w:rFonts w:cs="Arial"/>
          <w:szCs w:val="22"/>
        </w:rPr>
      </w:pPr>
      <w:r w:rsidRPr="004541DC">
        <w:rPr>
          <w:b/>
        </w:rPr>
        <w:t>Together for Sustainability</w:t>
      </w:r>
      <w:r w:rsidR="00E02672" w:rsidRPr="004541DC">
        <w:br/>
      </w:r>
      <w:r w:rsidRPr="004541DC">
        <w:rPr>
          <w:rFonts w:cs="Arial"/>
          <w:szCs w:val="22"/>
        </w:rPr>
        <w:t>Maria De Rycke</w:t>
      </w:r>
      <w:r w:rsidR="00E02672" w:rsidRPr="004541DC">
        <w:rPr>
          <w:rFonts w:cs="Arial"/>
          <w:szCs w:val="22"/>
        </w:rPr>
        <w:br/>
      </w:r>
      <w:r w:rsidRPr="004541DC">
        <w:rPr>
          <w:rFonts w:cs="Arial"/>
          <w:szCs w:val="22"/>
        </w:rPr>
        <w:t xml:space="preserve">Tel.: </w:t>
      </w:r>
      <w:r w:rsidRPr="004541DC">
        <w:rPr>
          <w:rFonts w:eastAsia="Arial" w:cs="Arial"/>
          <w:szCs w:val="22"/>
        </w:rPr>
        <w:t>+32 498 246063</w:t>
      </w:r>
      <w:r w:rsidR="00210935" w:rsidRPr="004541DC">
        <w:rPr>
          <w:rFonts w:eastAsia="Arial" w:cs="Arial"/>
          <w:szCs w:val="22"/>
        </w:rPr>
        <w:t xml:space="preserve">; </w:t>
      </w:r>
      <w:r w:rsidRPr="004541DC">
        <w:rPr>
          <w:rFonts w:cs="Arial"/>
          <w:szCs w:val="22"/>
        </w:rPr>
        <w:t xml:space="preserve">E-Mail: </w:t>
      </w:r>
      <w:hyperlink r:id="rId17" w:history="1">
        <w:r w:rsidRPr="004541DC">
          <w:rPr>
            <w:rStyle w:val="Hyperlink"/>
            <w:rFonts w:cs="Arial"/>
            <w:szCs w:val="22"/>
          </w:rPr>
          <w:t>maria.derycke@tfs-initiative.com</w:t>
        </w:r>
      </w:hyperlink>
    </w:p>
    <w:p w14:paraId="7A0980CA" w14:textId="59FB1647" w:rsidR="00C577BA" w:rsidRPr="004541DC" w:rsidRDefault="00C577BA">
      <w:pPr>
        <w:pStyle w:val="Bodytext"/>
      </w:pPr>
    </w:p>
    <w:p w14:paraId="24FC1ACB" w14:textId="77777777" w:rsidR="00883949" w:rsidRPr="004541DC" w:rsidRDefault="00883949">
      <w:pPr>
        <w:pStyle w:val="Bodytext"/>
      </w:pPr>
    </w:p>
    <w:p w14:paraId="7EEEB817" w14:textId="77777777" w:rsidR="002A5591" w:rsidRPr="00A03060" w:rsidRDefault="002A5591" w:rsidP="002A5591">
      <w:pPr>
        <w:spacing w:line="360" w:lineRule="auto"/>
        <w:rPr>
          <w:rFonts w:ascii="Arial" w:hAnsi="Arial" w:cs="Arial"/>
          <w:sz w:val="16"/>
          <w:szCs w:val="16"/>
          <w:lang w:val="de-DE"/>
        </w:rPr>
      </w:pPr>
      <w:r w:rsidRPr="00A03060">
        <w:rPr>
          <w:rFonts w:ascii="Arial" w:hAnsi="Arial" w:cs="Arial"/>
          <w:sz w:val="16"/>
          <w:szCs w:val="16"/>
          <w:lang w:val="de-DE"/>
        </w:rPr>
        <w:t xml:space="preserve">Die </w:t>
      </w:r>
      <w:r w:rsidRPr="00A03060">
        <w:rPr>
          <w:rFonts w:ascii="Arial" w:hAnsi="Arial" w:cs="Arial"/>
          <w:b/>
          <w:bCs/>
          <w:sz w:val="16"/>
          <w:szCs w:val="16"/>
          <w:lang w:val="de-DE"/>
        </w:rPr>
        <w:t>Siemens AG</w:t>
      </w:r>
      <w:r w:rsidRPr="00A03060">
        <w:rPr>
          <w:rFonts w:ascii="Arial" w:hAnsi="Arial" w:cs="Arial"/>
          <w:sz w:val="16"/>
          <w:szCs w:val="16"/>
          <w:lang w:val="de-DE"/>
        </w:rPr>
        <w:t xml:space="preserve"> (Berlin und München) ist ein Technologieunternehmen mit Fokus auf die Felder Industrie, Infrastruktur, Mobilität und Gesundheit. Ressourceneffiziente Fabriken, widerstandsfähige Lieferketten, intelligente Gebäude und Stromnetze, emissionsarme und komfortable Züge und eine fortschrittliche Gesundheitsversorgung – das Unternehmen unterstützt seine Kunden mit Technologien, die ihnen konkreten Nutzen bieten. Durch die Kombination der realen und der digitalen Welten befähigt Siemens seine Kunden, ihre Industrien und Märkte zu transformieren und verbessert damit den Alltag für Milliarden von Menschen. Siemens ist mehrheitlicher Eigentümer des börsennotierten Unternehmens Siemens Healthineers – einem weltweit führenden Anbieter von Medizintechnik, der die Zukunft der Gesundheitsversorgung gestaltet. Darüber hinaus hält Siemens eine Minderheitsbeteiligung an der börsengelisteten Siemens Energy, einem der weltweit führenden Unternehmen in der Energieübertragung und -erzeugung. Im Geschäftsjahr 2022, das am 30. September 2022 endete, erzielte der Siemens-Konzern einen Umsatz von 72,0 Milliarden Euro und einen Gewinn nach Steuern von 4,4 Milliarden Euro. Zum 30.09.2022 hatte das Unternehmen weltweit rund 311.000 Beschäftigte. Weitere Informationen finden Sie im Internet unter </w:t>
      </w:r>
      <w:hyperlink r:id="rId18" w:history="1">
        <w:r w:rsidRPr="00A03060">
          <w:rPr>
            <w:rStyle w:val="Hyperlink"/>
            <w:rFonts w:ascii="Arial" w:hAnsi="Arial" w:cs="Arial"/>
            <w:sz w:val="16"/>
            <w:szCs w:val="16"/>
            <w:lang w:val="de-DE"/>
          </w:rPr>
          <w:t>www.siemens.com</w:t>
        </w:r>
      </w:hyperlink>
      <w:r w:rsidRPr="00A03060">
        <w:rPr>
          <w:rFonts w:ascii="Arial" w:hAnsi="Arial" w:cs="Arial"/>
          <w:sz w:val="16"/>
          <w:szCs w:val="16"/>
          <w:lang w:val="de-DE"/>
        </w:rPr>
        <w:t>.</w:t>
      </w:r>
    </w:p>
    <w:p w14:paraId="3269539B" w14:textId="534F9516" w:rsidR="00C577BA" w:rsidRPr="00A03060" w:rsidRDefault="00C577BA" w:rsidP="002A5591">
      <w:pPr>
        <w:pStyle w:val="Boilerplate"/>
      </w:pPr>
    </w:p>
    <w:p w14:paraId="2F174C61" w14:textId="3052006B" w:rsidR="002A5591" w:rsidRPr="00B702A0" w:rsidRDefault="002A5591" w:rsidP="00E02672">
      <w:pPr>
        <w:spacing w:line="360" w:lineRule="auto"/>
        <w:rPr>
          <w:rFonts w:ascii="Arial" w:hAnsi="Arial" w:cs="Arial"/>
          <w:sz w:val="16"/>
          <w:szCs w:val="16"/>
          <w:lang w:val="de-DE"/>
        </w:rPr>
      </w:pPr>
      <w:r w:rsidRPr="00A03060">
        <w:rPr>
          <w:rFonts w:ascii="Arial" w:hAnsi="Arial" w:cs="Arial"/>
          <w:b/>
          <w:bCs/>
          <w:sz w:val="16"/>
          <w:szCs w:val="16"/>
          <w:lang w:val="de-DE"/>
        </w:rPr>
        <w:t>Together for Sustainability</w:t>
      </w:r>
      <w:r w:rsidRPr="00541D74">
        <w:rPr>
          <w:rFonts w:ascii="Arial" w:hAnsi="Arial" w:cs="Arial"/>
          <w:sz w:val="16"/>
          <w:szCs w:val="16"/>
          <w:lang w:val="de-DE"/>
        </w:rPr>
        <w:t xml:space="preserve"> (</w:t>
      </w:r>
      <w:r w:rsidRPr="00A03060">
        <w:rPr>
          <w:rFonts w:ascii="Arial" w:hAnsi="Arial" w:cs="Arial"/>
          <w:sz w:val="16"/>
          <w:szCs w:val="16"/>
          <w:lang w:val="de-DE"/>
        </w:rPr>
        <w:t>Brüssel, Belgien) ist eine Brancheninitiative, die von Chemieunternehmen mit dem Ziel ins Leben gerufen wurde, die Nachhaltigkeitspraktiken innerhalb ihrer globalen Lieferketten zu bewerten, zu auditieren und zu verbessern. Das Programm basiert auf den Prinzipien des UN Global Compact und Responsible Care®. TfS ist eine globale Organisation mit Regionalvertretungen in Asien sowie Nord- und Südamerika. TfS entwickelt und fördert innovative Lösungen für eine verantwortungsvolle Beschaffungspraxis in der globalen chemischen Industrie.</w:t>
      </w:r>
      <w:r w:rsidR="00883949" w:rsidRPr="00A03060">
        <w:rPr>
          <w:rFonts w:ascii="Arial" w:hAnsi="Arial" w:cs="Arial"/>
          <w:sz w:val="16"/>
          <w:szCs w:val="16"/>
          <w:lang w:val="de-DE"/>
        </w:rPr>
        <w:t xml:space="preserve"> </w:t>
      </w:r>
      <w:r w:rsidRPr="00A03060">
        <w:rPr>
          <w:rFonts w:ascii="Arial" w:hAnsi="Arial" w:cs="Arial"/>
          <w:sz w:val="16"/>
          <w:szCs w:val="16"/>
          <w:lang w:val="de-DE"/>
        </w:rPr>
        <w:t xml:space="preserve">Der weltweite Umsatz der 47 TfS-Mitglieder in der chemischen Industrie beläuft sich auf mehr als 800 Milliarden Euro, die Ausgaben weltweit auf über 500 Milliarden Euro. </w:t>
      </w:r>
      <w:hyperlink r:id="rId19" w:history="1">
        <w:r w:rsidR="00696EFE" w:rsidRPr="00696EFE">
          <w:rPr>
            <w:rStyle w:val="Hyperlink"/>
            <w:rFonts w:ascii="Arial" w:hAnsi="Arial" w:cs="Arial"/>
            <w:sz w:val="16"/>
            <w:szCs w:val="16"/>
            <w:lang w:val="de-DE"/>
          </w:rPr>
          <w:t>www.tfs-initiative.com</w:t>
        </w:r>
      </w:hyperlink>
      <w:r w:rsidR="00696EFE">
        <w:rPr>
          <w:lang w:val="de-DE"/>
        </w:rPr>
        <w:t xml:space="preserve"> </w:t>
      </w:r>
    </w:p>
    <w:sectPr w:rsidR="002A5591" w:rsidRPr="00B702A0">
      <w:headerReference w:type="default" r:id="rId20"/>
      <w:footerReference w:type="default" r:id="rId21"/>
      <w:footerReference w:type="first" r:id="rId22"/>
      <w:pgSz w:w="11906" w:h="16838" w:code="9"/>
      <w:pgMar w:top="907" w:right="2552" w:bottom="1077" w:left="1134" w:header="90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7D887" w14:textId="77777777" w:rsidR="0036593E" w:rsidRDefault="0036593E">
      <w:r>
        <w:separator/>
      </w:r>
    </w:p>
  </w:endnote>
  <w:endnote w:type="continuationSeparator" w:id="0">
    <w:p w14:paraId="663A9F51" w14:textId="77777777" w:rsidR="0036593E" w:rsidRDefault="0036593E">
      <w:r>
        <w:continuationSeparator/>
      </w:r>
    </w:p>
  </w:endnote>
  <w:endnote w:type="continuationNotice" w:id="1">
    <w:p w14:paraId="597E1032" w14:textId="77777777" w:rsidR="0036593E" w:rsidRDefault="003659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tblLayout w:type="fixed"/>
      <w:tblCellMar>
        <w:left w:w="0" w:type="dxa"/>
        <w:right w:w="0" w:type="dxa"/>
      </w:tblCellMar>
      <w:tblLook w:val="0000" w:firstRow="0" w:lastRow="0" w:firstColumn="0" w:lastColumn="0" w:noHBand="0" w:noVBand="0"/>
    </w:tblPr>
    <w:tblGrid>
      <w:gridCol w:w="3213"/>
      <w:gridCol w:w="3213"/>
      <w:gridCol w:w="3214"/>
    </w:tblGrid>
    <w:tr w:rsidR="00C577BA" w:rsidRPr="0050017F" w14:paraId="7304D073" w14:textId="77777777">
      <w:trPr>
        <w:cantSplit/>
        <w:trHeight w:hRule="exact" w:val="964"/>
      </w:trPr>
      <w:tc>
        <w:tcPr>
          <w:tcW w:w="3213" w:type="dxa"/>
          <w:tcBorders>
            <w:bottom w:val="single" w:sz="2" w:space="0" w:color="auto"/>
          </w:tcBorders>
          <w:shd w:val="clear" w:color="auto" w:fill="auto"/>
          <w:vAlign w:val="bottom"/>
        </w:tcPr>
        <w:p w14:paraId="70F880A1" w14:textId="1595817E" w:rsidR="00C577BA" w:rsidRPr="0050017F" w:rsidRDefault="00C577BA">
          <w:pPr>
            <w:pStyle w:val="Logo1"/>
            <w:rPr>
              <w:noProof w:val="0"/>
            </w:rPr>
          </w:pPr>
        </w:p>
      </w:tc>
      <w:tc>
        <w:tcPr>
          <w:tcW w:w="3213" w:type="dxa"/>
          <w:tcBorders>
            <w:bottom w:val="single" w:sz="2" w:space="0" w:color="auto"/>
          </w:tcBorders>
          <w:shd w:val="clear" w:color="auto" w:fill="auto"/>
          <w:vAlign w:val="bottom"/>
        </w:tcPr>
        <w:p w14:paraId="086B82B9" w14:textId="77777777" w:rsidR="00C577BA" w:rsidRPr="0050017F" w:rsidRDefault="00C577BA">
          <w:pPr>
            <w:pStyle w:val="Logo2"/>
            <w:rPr>
              <w:noProof w:val="0"/>
            </w:rPr>
          </w:pPr>
        </w:p>
      </w:tc>
      <w:tc>
        <w:tcPr>
          <w:tcW w:w="3214" w:type="dxa"/>
          <w:tcBorders>
            <w:bottom w:val="single" w:sz="2" w:space="0" w:color="auto"/>
          </w:tcBorders>
          <w:vAlign w:val="bottom"/>
        </w:tcPr>
        <w:p w14:paraId="1F82ABC8" w14:textId="77777777" w:rsidR="00C577BA" w:rsidRPr="0050017F" w:rsidRDefault="00C577BA">
          <w:pPr>
            <w:pStyle w:val="Logo3"/>
            <w:rPr>
              <w:noProof w:val="0"/>
            </w:rPr>
          </w:pPr>
        </w:p>
      </w:tc>
    </w:tr>
    <w:tr w:rsidR="00277211" w:rsidRPr="0050017F" w14:paraId="60C38DA4" w14:textId="77777777">
      <w:trPr>
        <w:cantSplit/>
        <w:trHeight w:hRule="exact" w:val="1928"/>
      </w:trPr>
      <w:tc>
        <w:tcPr>
          <w:tcW w:w="3213" w:type="dxa"/>
          <w:tcBorders>
            <w:top w:val="single" w:sz="2" w:space="0" w:color="auto"/>
          </w:tcBorders>
          <w:shd w:val="clear" w:color="auto" w:fill="auto"/>
        </w:tcPr>
        <w:p w14:paraId="1ABDBFD8" w14:textId="578791E2" w:rsidR="00277211" w:rsidRPr="0050017F" w:rsidRDefault="002B67BF" w:rsidP="00277211">
          <w:pPr>
            <w:pStyle w:val="scforgzeile"/>
            <w:spacing w:before="110"/>
            <w:rPr>
              <w:b/>
              <w:noProof w:val="0"/>
            </w:rPr>
          </w:pPr>
          <w:r w:rsidRPr="0050017F">
            <w:rPr>
              <w:noProof w:val="0"/>
            </w:rPr>
            <w:fldChar w:fldCharType="begin"/>
          </w:r>
          <w:r w:rsidRPr="0050017F">
            <w:rPr>
              <w:noProof w:val="0"/>
            </w:rPr>
            <w:instrText xml:space="preserve"> STYLEREF  Footer1Z1  \* MERGEFORMAT </w:instrText>
          </w:r>
          <w:r w:rsidRPr="0050017F">
            <w:rPr>
              <w:noProof w:val="0"/>
            </w:rPr>
            <w:fldChar w:fldCharType="separate"/>
          </w:r>
          <w:r w:rsidR="00492689" w:rsidRPr="00492689">
            <w:rPr>
              <w:b/>
            </w:rPr>
            <w:t>Siemens AG</w:t>
          </w:r>
          <w:r w:rsidRPr="0050017F">
            <w:rPr>
              <w:noProof w:val="0"/>
            </w:rPr>
            <w:fldChar w:fldCharType="end"/>
          </w:r>
        </w:p>
        <w:p w14:paraId="7C7582E1" w14:textId="6CCAD570" w:rsidR="00277211" w:rsidRPr="0050017F" w:rsidRDefault="002B67BF" w:rsidP="00277211">
          <w:pPr>
            <w:pStyle w:val="scforgzeile"/>
            <w:rPr>
              <w:noProof w:val="0"/>
            </w:rPr>
          </w:pPr>
          <w:r w:rsidRPr="0050017F">
            <w:rPr>
              <w:noProof w:val="0"/>
            </w:rPr>
            <w:fldChar w:fldCharType="begin"/>
          </w:r>
          <w:r w:rsidRPr="0050017F">
            <w:rPr>
              <w:noProof w:val="0"/>
            </w:rPr>
            <w:instrText xml:space="preserve"> STYLEREF  Footer1  \* MERGEFORMAT </w:instrText>
          </w:r>
          <w:r w:rsidRPr="0050017F">
            <w:rPr>
              <w:noProof w:val="0"/>
            </w:rPr>
            <w:fldChar w:fldCharType="separate"/>
          </w:r>
          <w:r w:rsidR="00492689">
            <w:t>Werner-von-Siemens-Straße 1</w:t>
          </w:r>
          <w:r w:rsidR="00492689">
            <w:br/>
            <w:t>80333 München</w:t>
          </w:r>
          <w:r w:rsidR="00492689">
            <w:br/>
            <w:t>Deutschland</w:t>
          </w:r>
          <w:r w:rsidRPr="0050017F">
            <w:rPr>
              <w:noProof w:val="0"/>
            </w:rPr>
            <w:fldChar w:fldCharType="end"/>
          </w:r>
        </w:p>
      </w:tc>
      <w:tc>
        <w:tcPr>
          <w:tcW w:w="3213" w:type="dxa"/>
          <w:tcBorders>
            <w:top w:val="single" w:sz="2" w:space="0" w:color="auto"/>
          </w:tcBorders>
          <w:shd w:val="clear" w:color="auto" w:fill="auto"/>
        </w:tcPr>
        <w:p w14:paraId="7F39B008" w14:textId="77777777" w:rsidR="0050017F" w:rsidRPr="00380D67" w:rsidRDefault="0050017F" w:rsidP="0050017F">
          <w:pPr>
            <w:pStyle w:val="Footer3Z1"/>
            <w:rPr>
              <w:lang w:val="en-US"/>
            </w:rPr>
          </w:pPr>
          <w:r w:rsidRPr="00380D67">
            <w:rPr>
              <w:lang w:val="en-US"/>
            </w:rPr>
            <w:t>Together for Sustainability</w:t>
          </w:r>
        </w:p>
        <w:p w14:paraId="5F1AF88B" w14:textId="7719B4CF" w:rsidR="00277211" w:rsidRPr="00380D67" w:rsidRDefault="0050017F" w:rsidP="0050017F">
          <w:pPr>
            <w:pStyle w:val="Footer3"/>
            <w:rPr>
              <w:lang w:val="en-US"/>
            </w:rPr>
          </w:pPr>
          <w:r w:rsidRPr="00380D67">
            <w:rPr>
              <w:lang w:val="en-US"/>
            </w:rPr>
            <w:t>Rue Belliard 40</w:t>
          </w:r>
          <w:r w:rsidRPr="00380D67">
            <w:rPr>
              <w:lang w:val="en-US"/>
            </w:rPr>
            <w:br/>
            <w:t>1040 Brüssel</w:t>
          </w:r>
          <w:r w:rsidRPr="00380D67">
            <w:rPr>
              <w:lang w:val="en-US"/>
            </w:rPr>
            <w:br/>
            <w:t>Belgien</w:t>
          </w:r>
        </w:p>
      </w:tc>
      <w:tc>
        <w:tcPr>
          <w:tcW w:w="3214" w:type="dxa"/>
          <w:tcBorders>
            <w:top w:val="single" w:sz="2" w:space="0" w:color="auto"/>
          </w:tcBorders>
        </w:tcPr>
        <w:p w14:paraId="1662A0E7" w14:textId="4FBF0F61" w:rsidR="00277211" w:rsidRPr="00380D67" w:rsidRDefault="00277211" w:rsidP="00277211">
          <w:pPr>
            <w:pStyle w:val="scforgzeile"/>
            <w:rPr>
              <w:noProof w:val="0"/>
              <w:lang w:val="en-US"/>
            </w:rPr>
          </w:pPr>
        </w:p>
      </w:tc>
    </w:tr>
  </w:tbl>
  <w:p w14:paraId="491DB09B" w14:textId="75F96429" w:rsidR="00C577BA" w:rsidRPr="0050017F" w:rsidRDefault="00395FEE">
    <w:pPr>
      <w:pStyle w:val="scforgzeile"/>
      <w:rPr>
        <w:noProof w:val="0"/>
      </w:rPr>
    </w:pPr>
    <w:r w:rsidRPr="0050017F">
      <w:rPr>
        <w:noProof w:val="0"/>
      </w:rPr>
      <w:fldChar w:fldCharType="begin"/>
    </w:r>
    <w:r w:rsidRPr="0050017F">
      <w:rPr>
        <w:noProof w:val="0"/>
      </w:rPr>
      <w:instrText xml:space="preserve"> STYLEREF \* CHARFORMAT "Reference Number" </w:instrText>
    </w:r>
    <w:r w:rsidRPr="0050017F">
      <w:rPr>
        <w:noProof w:val="0"/>
      </w:rPr>
      <w:fldChar w:fldCharType="separate"/>
    </w:r>
    <w:r w:rsidR="00492689">
      <w:t>Informationsnummer: ABCDJJJJMM.xxx d</w:t>
    </w:r>
    <w:r w:rsidRPr="0050017F">
      <w:rPr>
        <w:noProof w:val="0"/>
      </w:rPr>
      <w:fldChar w:fldCharType="end"/>
    </w:r>
    <w:r w:rsidRPr="0050017F">
      <w:rPr>
        <w:noProof w:val="0"/>
      </w:rPr>
      <w:tab/>
    </w:r>
    <w:r w:rsidRPr="0050017F">
      <w:rPr>
        <w:rStyle w:val="Page"/>
        <w:noProof w:val="0"/>
      </w:rPr>
      <w:t xml:space="preserve">Seite </w:t>
    </w:r>
    <w:r w:rsidRPr="0050017F">
      <w:rPr>
        <w:rStyle w:val="Page"/>
        <w:noProof w:val="0"/>
      </w:rPr>
      <w:fldChar w:fldCharType="begin"/>
    </w:r>
    <w:r w:rsidRPr="0050017F">
      <w:rPr>
        <w:rStyle w:val="Page"/>
        <w:noProof w:val="0"/>
      </w:rPr>
      <w:instrText xml:space="preserve"> PAGE  \* MERGEFORMAT </w:instrText>
    </w:r>
    <w:r w:rsidRPr="0050017F">
      <w:rPr>
        <w:rStyle w:val="Page"/>
        <w:noProof w:val="0"/>
      </w:rPr>
      <w:fldChar w:fldCharType="separate"/>
    </w:r>
    <w:r w:rsidRPr="0050017F">
      <w:rPr>
        <w:rStyle w:val="Page"/>
        <w:noProof w:val="0"/>
      </w:rPr>
      <w:t>2</w:t>
    </w:r>
    <w:r w:rsidRPr="0050017F">
      <w:rPr>
        <w:rStyle w:val="Page"/>
        <w:noProof w:val="0"/>
      </w:rPr>
      <w:fldChar w:fldCharType="end"/>
    </w:r>
    <w:r w:rsidRPr="0050017F">
      <w:rPr>
        <w:rStyle w:val="Page"/>
        <w:noProof w:val="0"/>
      </w:rPr>
      <w:t>/</w:t>
    </w:r>
    <w:r w:rsidR="002B67BF" w:rsidRPr="0050017F">
      <w:rPr>
        <w:noProof w:val="0"/>
      </w:rPr>
      <w:fldChar w:fldCharType="begin"/>
    </w:r>
    <w:r w:rsidR="002B67BF" w:rsidRPr="0050017F">
      <w:rPr>
        <w:noProof w:val="0"/>
      </w:rPr>
      <w:instrText xml:space="preserve"> NUMPAGES  \* MERGEFORMAT </w:instrText>
    </w:r>
    <w:r w:rsidR="002B67BF" w:rsidRPr="0050017F">
      <w:rPr>
        <w:noProof w:val="0"/>
      </w:rPr>
      <w:fldChar w:fldCharType="separate"/>
    </w:r>
    <w:r w:rsidRPr="0050017F">
      <w:rPr>
        <w:rStyle w:val="Page"/>
        <w:noProof w:val="0"/>
      </w:rPr>
      <w:t>2</w:t>
    </w:r>
    <w:r w:rsidR="002B67BF" w:rsidRPr="0050017F">
      <w:rPr>
        <w:noProof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0A33C" w14:textId="77777777" w:rsidR="00C577BA" w:rsidRDefault="00395FEE">
    <w:pPr>
      <w:pStyle w:val="scforgzeile"/>
      <w:rPr>
        <w:rStyle w:val="Page"/>
      </w:rPr>
    </w:pPr>
    <w:r>
      <w:tab/>
    </w:r>
    <w:r>
      <w:rPr>
        <w:rStyle w:val="Page"/>
      </w:rPr>
      <w:t xml:space="preserve">Seite </w:t>
    </w:r>
    <w:r>
      <w:rPr>
        <w:rStyle w:val="Page"/>
      </w:rPr>
      <w:fldChar w:fldCharType="begin"/>
    </w:r>
    <w:r>
      <w:rPr>
        <w:rStyle w:val="Page"/>
      </w:rPr>
      <w:instrText xml:space="preserve"> PAGE  \* MERGEFORMAT </w:instrText>
    </w:r>
    <w:r>
      <w:rPr>
        <w:rStyle w:val="Page"/>
      </w:rPr>
      <w:fldChar w:fldCharType="separate"/>
    </w:r>
    <w:r>
      <w:rPr>
        <w:rStyle w:val="Page"/>
      </w:rPr>
      <w:t>1</w:t>
    </w:r>
    <w:r>
      <w:rPr>
        <w:rStyle w:val="Page"/>
      </w:rPr>
      <w:fldChar w:fldCharType="end"/>
    </w:r>
    <w:r>
      <w:rPr>
        <w:rStyle w:val="Page"/>
      </w:rPr>
      <w:t>/</w:t>
    </w:r>
    <w:fldSimple w:instr=" NUMPAGES  \* MERGEFORMAT ">
      <w:r>
        <w:rPr>
          <w:rStyle w:val="Page"/>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B9DD9" w14:textId="77777777" w:rsidR="0036593E" w:rsidRDefault="0036593E">
      <w:r>
        <w:separator/>
      </w:r>
    </w:p>
  </w:footnote>
  <w:footnote w:type="continuationSeparator" w:id="0">
    <w:p w14:paraId="7ABB7750" w14:textId="77777777" w:rsidR="0036593E" w:rsidRDefault="0036593E">
      <w:r>
        <w:continuationSeparator/>
      </w:r>
    </w:p>
  </w:footnote>
  <w:footnote w:type="continuationNotice" w:id="1">
    <w:p w14:paraId="334ED6B3" w14:textId="77777777" w:rsidR="0036593E" w:rsidRDefault="003659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6521"/>
      <w:gridCol w:w="3119"/>
    </w:tblGrid>
    <w:tr w:rsidR="00C577BA" w14:paraId="7DB5F238" w14:textId="77777777">
      <w:trPr>
        <w:cantSplit/>
        <w:trHeight w:hRule="exact" w:val="1191"/>
      </w:trPr>
      <w:tc>
        <w:tcPr>
          <w:tcW w:w="6521" w:type="dxa"/>
        </w:tcPr>
        <w:p w14:paraId="6691DFE9" w14:textId="342FB8F8" w:rsidR="00C577BA" w:rsidRDefault="0063138D">
          <w:pPr>
            <w:pStyle w:val="PressInformationPage2"/>
          </w:pPr>
          <w:fldSimple w:instr=" STYLEREF  &quot;Press information&quot;  \* MERGEFORMAT ">
            <w:r w:rsidR="00492689">
              <w:t>Gemeinsame Presseinformation</w:t>
            </w:r>
          </w:fldSimple>
        </w:p>
        <w:p w14:paraId="0547D067" w14:textId="645F7A08" w:rsidR="00C577BA" w:rsidRDefault="00000000">
          <w:pPr>
            <w:pStyle w:val="CompanyPage2"/>
          </w:pPr>
          <w:fldSimple w:instr=" STYLEREF  Company  \* MERGEFORMAT ">
            <w:r w:rsidR="00492689">
              <w:t>von Siemens und Together for Sustainability</w:t>
            </w:r>
          </w:fldSimple>
        </w:p>
      </w:tc>
      <w:tc>
        <w:tcPr>
          <w:tcW w:w="3119" w:type="dxa"/>
        </w:tcPr>
        <w:p w14:paraId="2F12C255" w14:textId="77777777" w:rsidR="00C577BA" w:rsidRDefault="00C577BA">
          <w:pPr>
            <w:pStyle w:val="HeaderPage2"/>
          </w:pPr>
        </w:p>
      </w:tc>
    </w:tr>
  </w:tbl>
  <w:p w14:paraId="481A4927" w14:textId="77777777" w:rsidR="00C577BA" w:rsidRDefault="00C577BA">
    <w:pPr>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A2A9D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66AB4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0963E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1F475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28CDA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04A1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62D05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4043B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0236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64C5B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7400E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2C56C2E"/>
    <w:multiLevelType w:val="multilevel"/>
    <w:tmpl w:val="AAEE0606"/>
    <w:lvl w:ilvl="0">
      <w:numFmt w:val="bullet"/>
      <w:lvlText w:val=""/>
      <w:lvlJc w:val="left"/>
      <w:pPr>
        <w:tabs>
          <w:tab w:val="num" w:pos="170"/>
        </w:tabs>
        <w:ind w:left="0" w:firstLine="0"/>
      </w:pPr>
      <w:rPr>
        <w:rFonts w:ascii="Symbol" w:eastAsia="Times New Roman"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6F250C"/>
    <w:multiLevelType w:val="multilevel"/>
    <w:tmpl w:val="7F3A6EB8"/>
    <w:lvl w:ilvl="0">
      <w:start w:val="1"/>
      <w:numFmt w:val="bullet"/>
      <w:lvlText w:val="-"/>
      <w:lvlJc w:val="left"/>
      <w:pPr>
        <w:tabs>
          <w:tab w:val="num" w:pos="284"/>
        </w:tabs>
        <w:ind w:left="284" w:hanging="284"/>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8E1F3E"/>
    <w:multiLevelType w:val="hybridMultilevel"/>
    <w:tmpl w:val="7F3A6EB8"/>
    <w:lvl w:ilvl="0" w:tplc="7F928976">
      <w:start w:val="1"/>
      <w:numFmt w:val="bullet"/>
      <w:lvlText w:val="-"/>
      <w:lvlJc w:val="left"/>
      <w:pPr>
        <w:tabs>
          <w:tab w:val="num" w:pos="284"/>
        </w:tabs>
        <w:ind w:left="284" w:hanging="28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C8602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A291DAF"/>
    <w:multiLevelType w:val="multilevel"/>
    <w:tmpl w:val="2AAC5740"/>
    <w:lvl w:ilvl="0">
      <w:numFmt w:val="bullet"/>
      <w:lvlText w:val=""/>
      <w:lvlJc w:val="left"/>
      <w:pPr>
        <w:tabs>
          <w:tab w:val="num" w:pos="284"/>
        </w:tabs>
        <w:ind w:left="284" w:hanging="284"/>
      </w:pPr>
      <w:rPr>
        <w:rFonts w:ascii="Symbol" w:eastAsia="Times New Roman"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B52151"/>
    <w:multiLevelType w:val="multilevel"/>
    <w:tmpl w:val="0409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275868368">
    <w:abstractNumId w:val="14"/>
  </w:num>
  <w:num w:numId="2" w16cid:durableId="1837838912">
    <w:abstractNumId w:val="13"/>
  </w:num>
  <w:num w:numId="3" w16cid:durableId="2030249928">
    <w:abstractNumId w:val="10"/>
  </w:num>
  <w:num w:numId="4" w16cid:durableId="446891110">
    <w:abstractNumId w:val="12"/>
  </w:num>
  <w:num w:numId="5" w16cid:durableId="833186264">
    <w:abstractNumId w:val="16"/>
  </w:num>
  <w:num w:numId="6" w16cid:durableId="284240135">
    <w:abstractNumId w:val="9"/>
  </w:num>
  <w:num w:numId="7" w16cid:durableId="371463029">
    <w:abstractNumId w:val="7"/>
  </w:num>
  <w:num w:numId="8" w16cid:durableId="13968495">
    <w:abstractNumId w:val="6"/>
  </w:num>
  <w:num w:numId="9" w16cid:durableId="1587764102">
    <w:abstractNumId w:val="5"/>
  </w:num>
  <w:num w:numId="10" w16cid:durableId="617840298">
    <w:abstractNumId w:val="4"/>
  </w:num>
  <w:num w:numId="11" w16cid:durableId="947388481">
    <w:abstractNumId w:val="11"/>
  </w:num>
  <w:num w:numId="12" w16cid:durableId="5183452">
    <w:abstractNumId w:val="15"/>
  </w:num>
  <w:num w:numId="13" w16cid:durableId="520319005">
    <w:abstractNumId w:val="17"/>
  </w:num>
  <w:num w:numId="14" w16cid:durableId="2066027972">
    <w:abstractNumId w:val="8"/>
  </w:num>
  <w:num w:numId="15" w16cid:durableId="992370143">
    <w:abstractNumId w:val="3"/>
  </w:num>
  <w:num w:numId="16" w16cid:durableId="224224849">
    <w:abstractNumId w:val="2"/>
  </w:num>
  <w:num w:numId="17" w16cid:durableId="2113891454">
    <w:abstractNumId w:val="1"/>
  </w:num>
  <w:num w:numId="18" w16cid:durableId="1581016277">
    <w:abstractNumId w:val="0"/>
  </w:num>
  <w:num w:numId="19" w16cid:durableId="5818391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clickAndTypeStyle w:val="Bodytext"/>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211"/>
    <w:rsid w:val="000417D2"/>
    <w:rsid w:val="00042DBC"/>
    <w:rsid w:val="0005660F"/>
    <w:rsid w:val="00070E4F"/>
    <w:rsid w:val="000A4E85"/>
    <w:rsid w:val="000C49C1"/>
    <w:rsid w:val="000E00FA"/>
    <w:rsid w:val="000F7EBD"/>
    <w:rsid w:val="001049D1"/>
    <w:rsid w:val="00117ADB"/>
    <w:rsid w:val="00126EF2"/>
    <w:rsid w:val="00127D07"/>
    <w:rsid w:val="0015280A"/>
    <w:rsid w:val="00153DB0"/>
    <w:rsid w:val="00157EA9"/>
    <w:rsid w:val="001F5648"/>
    <w:rsid w:val="00210935"/>
    <w:rsid w:val="00216891"/>
    <w:rsid w:val="00234F66"/>
    <w:rsid w:val="00241C0C"/>
    <w:rsid w:val="00252856"/>
    <w:rsid w:val="00255E8E"/>
    <w:rsid w:val="00277211"/>
    <w:rsid w:val="002817AE"/>
    <w:rsid w:val="00287ACF"/>
    <w:rsid w:val="00296286"/>
    <w:rsid w:val="002A5591"/>
    <w:rsid w:val="002A7B87"/>
    <w:rsid w:val="002B67BF"/>
    <w:rsid w:val="002E2864"/>
    <w:rsid w:val="002E3E84"/>
    <w:rsid w:val="0031075C"/>
    <w:rsid w:val="00311AA0"/>
    <w:rsid w:val="003461F5"/>
    <w:rsid w:val="0036593E"/>
    <w:rsid w:val="00380D67"/>
    <w:rsid w:val="003859C7"/>
    <w:rsid w:val="00394226"/>
    <w:rsid w:val="00395FEE"/>
    <w:rsid w:val="003A552E"/>
    <w:rsid w:val="003F398F"/>
    <w:rsid w:val="00416A98"/>
    <w:rsid w:val="004541DC"/>
    <w:rsid w:val="00491392"/>
    <w:rsid w:val="00492689"/>
    <w:rsid w:val="0050017F"/>
    <w:rsid w:val="00533844"/>
    <w:rsid w:val="00541D74"/>
    <w:rsid w:val="00553AF3"/>
    <w:rsid w:val="005624E4"/>
    <w:rsid w:val="005A1A3A"/>
    <w:rsid w:val="005E2B23"/>
    <w:rsid w:val="005E6AAD"/>
    <w:rsid w:val="00611820"/>
    <w:rsid w:val="00617E70"/>
    <w:rsid w:val="0063138D"/>
    <w:rsid w:val="00650F11"/>
    <w:rsid w:val="00665316"/>
    <w:rsid w:val="0067502B"/>
    <w:rsid w:val="00696EFE"/>
    <w:rsid w:val="006C74AC"/>
    <w:rsid w:val="007350CA"/>
    <w:rsid w:val="0075204B"/>
    <w:rsid w:val="007C4B52"/>
    <w:rsid w:val="007D4F81"/>
    <w:rsid w:val="00834F7E"/>
    <w:rsid w:val="008412DA"/>
    <w:rsid w:val="00861942"/>
    <w:rsid w:val="00883949"/>
    <w:rsid w:val="00883E44"/>
    <w:rsid w:val="00894F1A"/>
    <w:rsid w:val="008A3037"/>
    <w:rsid w:val="008C1395"/>
    <w:rsid w:val="00912207"/>
    <w:rsid w:val="009737CA"/>
    <w:rsid w:val="009A0E80"/>
    <w:rsid w:val="009B0C93"/>
    <w:rsid w:val="009E458E"/>
    <w:rsid w:val="009E4E5B"/>
    <w:rsid w:val="009F2C45"/>
    <w:rsid w:val="009F7C57"/>
    <w:rsid w:val="00A0180F"/>
    <w:rsid w:val="00A03060"/>
    <w:rsid w:val="00A24A76"/>
    <w:rsid w:val="00A57AA6"/>
    <w:rsid w:val="00A75587"/>
    <w:rsid w:val="00AA23EC"/>
    <w:rsid w:val="00AB5C5D"/>
    <w:rsid w:val="00AD0D5C"/>
    <w:rsid w:val="00AD2630"/>
    <w:rsid w:val="00B702A0"/>
    <w:rsid w:val="00B720EA"/>
    <w:rsid w:val="00B95CE3"/>
    <w:rsid w:val="00B969CD"/>
    <w:rsid w:val="00BB17F1"/>
    <w:rsid w:val="00C15700"/>
    <w:rsid w:val="00C22EE2"/>
    <w:rsid w:val="00C322DA"/>
    <w:rsid w:val="00C577BA"/>
    <w:rsid w:val="00C9246B"/>
    <w:rsid w:val="00CE6960"/>
    <w:rsid w:val="00CF3E95"/>
    <w:rsid w:val="00D0491E"/>
    <w:rsid w:val="00D27901"/>
    <w:rsid w:val="00D31B08"/>
    <w:rsid w:val="00D44F85"/>
    <w:rsid w:val="00D50433"/>
    <w:rsid w:val="00DA1A23"/>
    <w:rsid w:val="00DA77A1"/>
    <w:rsid w:val="00DC5CC8"/>
    <w:rsid w:val="00DC7650"/>
    <w:rsid w:val="00DD3A59"/>
    <w:rsid w:val="00E02672"/>
    <w:rsid w:val="00E208B8"/>
    <w:rsid w:val="00E208F3"/>
    <w:rsid w:val="00E455EB"/>
    <w:rsid w:val="00E57305"/>
    <w:rsid w:val="00E630F3"/>
    <w:rsid w:val="00F236CC"/>
    <w:rsid w:val="00F2588A"/>
    <w:rsid w:val="00F37658"/>
    <w:rsid w:val="00F47A59"/>
    <w:rsid w:val="00F85884"/>
    <w:rsid w:val="00FB5196"/>
    <w:rsid w:val="00FF72D4"/>
    <w:rsid w:val="04DB80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A7CA39"/>
  <w15:docId w15:val="{EE903F3E-2DF0-47C7-8453-67176D6FF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7211"/>
    <w:rPr>
      <w:rFonts w:ascii="Calibri" w:eastAsiaTheme="minorHAnsi" w:hAnsi="Calibri"/>
      <w:sz w:val="22"/>
      <w:szCs w:val="22"/>
      <w:lang w:val="en-US" w:eastAsia="en-US"/>
    </w:rPr>
  </w:style>
  <w:style w:type="paragraph" w:styleId="Heading1">
    <w:name w:val="heading 1"/>
    <w:basedOn w:val="Normal"/>
    <w:next w:val="Normal"/>
    <w:qFormat/>
    <w:pPr>
      <w:spacing w:before="1077" w:after="300"/>
      <w:outlineLvl w:val="0"/>
    </w:pPr>
    <w:rPr>
      <w:rFonts w:ascii="Arial" w:eastAsia="Times New Roman" w:hAnsi="Arial" w:cs="Arial"/>
      <w:bCs/>
      <w:noProof/>
      <w:sz w:val="40"/>
      <w:szCs w:val="24"/>
      <w:lang w:val="de-DE" w:eastAsia="de-DE"/>
    </w:rPr>
  </w:style>
  <w:style w:type="paragraph" w:styleId="Heading2">
    <w:name w:val="heading 2"/>
    <w:basedOn w:val="Normal"/>
    <w:next w:val="Normal"/>
    <w:qFormat/>
    <w:pPr>
      <w:keepNext/>
      <w:outlineLvl w:val="1"/>
    </w:pPr>
    <w:rPr>
      <w:rFonts w:ascii="Arial" w:eastAsia="Times New Roman" w:hAnsi="Arial" w:cs="Arial"/>
      <w:b/>
      <w:bCs/>
      <w:iCs/>
      <w:noProof/>
      <w:sz w:val="20"/>
      <w:szCs w:val="28"/>
      <w:lang w:val="de-DE" w:eastAsia="de-DE"/>
    </w:rPr>
  </w:style>
  <w:style w:type="paragraph" w:styleId="Heading3">
    <w:name w:val="heading 3"/>
    <w:basedOn w:val="Normal"/>
    <w:next w:val="Normal"/>
    <w:qFormat/>
    <w:pPr>
      <w:keepNext/>
      <w:outlineLvl w:val="2"/>
    </w:pPr>
    <w:rPr>
      <w:rFonts w:ascii="Arial" w:eastAsia="Times New Roman" w:hAnsi="Arial" w:cs="Arial"/>
      <w:bCs/>
      <w:noProof/>
      <w:sz w:val="20"/>
      <w:szCs w:val="26"/>
      <w:lang w:val="de-DE" w:eastAsia="de-DE"/>
    </w:rPr>
  </w:style>
  <w:style w:type="paragraph" w:styleId="Heading4">
    <w:name w:val="heading 4"/>
    <w:basedOn w:val="Normal"/>
    <w:next w:val="Normal"/>
    <w:qFormat/>
    <w:pPr>
      <w:keepNext/>
      <w:spacing w:before="240" w:after="60"/>
      <w:outlineLvl w:val="3"/>
    </w:pPr>
    <w:rPr>
      <w:rFonts w:ascii="Times New Roman" w:eastAsia="Times New Roman" w:hAnsi="Times New Roman"/>
      <w:b/>
      <w:bCs/>
      <w:sz w:val="28"/>
      <w:szCs w:val="28"/>
      <w:lang w:val="de-DE" w:eastAsia="de-DE"/>
    </w:rPr>
  </w:style>
  <w:style w:type="paragraph" w:styleId="Heading5">
    <w:name w:val="heading 5"/>
    <w:basedOn w:val="Normal"/>
    <w:next w:val="Normal"/>
    <w:qFormat/>
    <w:pPr>
      <w:spacing w:before="240" w:after="60"/>
      <w:outlineLvl w:val="4"/>
    </w:pPr>
    <w:rPr>
      <w:rFonts w:ascii="Arial" w:eastAsia="Times New Roman" w:hAnsi="Arial"/>
      <w:b/>
      <w:bCs/>
      <w:i/>
      <w:iCs/>
      <w:sz w:val="26"/>
      <w:szCs w:val="26"/>
      <w:lang w:val="de-DE" w:eastAsia="de-DE"/>
    </w:rPr>
  </w:style>
  <w:style w:type="paragraph" w:styleId="Heading6">
    <w:name w:val="heading 6"/>
    <w:basedOn w:val="Normal"/>
    <w:next w:val="Normal"/>
    <w:qFormat/>
    <w:pPr>
      <w:spacing w:before="240" w:after="60"/>
      <w:outlineLvl w:val="5"/>
    </w:pPr>
    <w:rPr>
      <w:rFonts w:ascii="Times New Roman" w:eastAsia="Times New Roman" w:hAnsi="Times New Roman"/>
      <w:b/>
      <w:bCs/>
      <w:lang w:val="de-DE" w:eastAsia="de-DE"/>
    </w:rPr>
  </w:style>
  <w:style w:type="paragraph" w:styleId="Heading7">
    <w:name w:val="heading 7"/>
    <w:basedOn w:val="Normal"/>
    <w:next w:val="Normal"/>
    <w:qFormat/>
    <w:pPr>
      <w:spacing w:before="240" w:after="60"/>
      <w:outlineLvl w:val="6"/>
    </w:pPr>
    <w:rPr>
      <w:rFonts w:ascii="Times New Roman" w:eastAsia="Times New Roman" w:hAnsi="Times New Roman"/>
      <w:sz w:val="24"/>
      <w:szCs w:val="24"/>
      <w:lang w:val="de-DE" w:eastAsia="de-DE"/>
    </w:rPr>
  </w:style>
  <w:style w:type="paragraph" w:styleId="Heading8">
    <w:name w:val="heading 8"/>
    <w:basedOn w:val="Normal"/>
    <w:next w:val="Normal"/>
    <w:qFormat/>
    <w:pPr>
      <w:spacing w:before="240" w:after="60"/>
      <w:outlineLvl w:val="7"/>
    </w:pPr>
    <w:rPr>
      <w:rFonts w:ascii="Times New Roman" w:eastAsia="Times New Roman" w:hAnsi="Times New Roman"/>
      <w:i/>
      <w:iCs/>
      <w:sz w:val="24"/>
      <w:szCs w:val="24"/>
      <w:lang w:val="de-DE" w:eastAsia="de-DE"/>
    </w:rPr>
  </w:style>
  <w:style w:type="paragraph" w:styleId="Heading9">
    <w:name w:val="heading 9"/>
    <w:basedOn w:val="Normal"/>
    <w:next w:val="Normal"/>
    <w:qFormat/>
    <w:pPr>
      <w:spacing w:before="240" w:after="60"/>
      <w:outlineLvl w:val="8"/>
    </w:pPr>
    <w:rPr>
      <w:rFonts w:ascii="Arial" w:eastAsia="Times New Roman" w:hAnsi="Arial" w:cs="Arial"/>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rPr>
      <w:rFonts w:ascii="Arial" w:eastAsia="Times New Roman" w:hAnsi="Arial"/>
      <w:sz w:val="20"/>
      <w:szCs w:val="20"/>
      <w:lang w:val="de-DE" w:eastAsia="de-DE"/>
    </w:rPr>
  </w:style>
  <w:style w:type="paragraph" w:styleId="Footer">
    <w:name w:val="footer"/>
    <w:basedOn w:val="Normal"/>
    <w:semiHidden/>
    <w:pPr>
      <w:tabs>
        <w:tab w:val="center" w:pos="4536"/>
        <w:tab w:val="right" w:pos="9072"/>
      </w:tabs>
    </w:pPr>
    <w:rPr>
      <w:rFonts w:ascii="Arial" w:eastAsia="Times New Roman" w:hAnsi="Arial"/>
      <w:sz w:val="20"/>
      <w:szCs w:val="20"/>
      <w:lang w:val="de-DE" w:eastAsia="de-DE"/>
    </w:rPr>
  </w:style>
  <w:style w:type="character" w:customStyle="1" w:styleId="Page">
    <w:name w:val="Page"/>
    <w:basedOn w:val="DefaultParagraphFont"/>
    <w:rPr>
      <w:rFonts w:ascii="Arial" w:hAnsi="Arial"/>
      <w:sz w:val="16"/>
    </w:rPr>
  </w:style>
  <w:style w:type="paragraph" w:customStyle="1" w:styleId="SiemensLogo">
    <w:name w:val="Siemens Logo"/>
    <w:rPr>
      <w:rFonts w:ascii="Arial" w:hAnsi="Arial"/>
      <w:noProof/>
      <w:sz w:val="22"/>
    </w:rPr>
  </w:style>
  <w:style w:type="paragraph" w:customStyle="1" w:styleId="Bodytext">
    <w:name w:val="Bodytext"/>
    <w:link w:val="BodytextZchn"/>
    <w:uiPriority w:val="99"/>
    <w:qFormat/>
    <w:pPr>
      <w:spacing w:line="360" w:lineRule="auto"/>
    </w:pPr>
    <w:rPr>
      <w:rFonts w:ascii="Arial" w:hAnsi="Arial"/>
      <w:sz w:val="22"/>
    </w:rPr>
  </w:style>
  <w:style w:type="paragraph" w:customStyle="1" w:styleId="Footer1">
    <w:name w:val="Footer1"/>
    <w:rPr>
      <w:rFonts w:ascii="Arial" w:hAnsi="Arial"/>
      <w:sz w:val="16"/>
      <w:szCs w:val="16"/>
    </w:rPr>
  </w:style>
  <w:style w:type="paragraph" w:customStyle="1" w:styleId="Footer1Z1">
    <w:name w:val="Footer1Z1"/>
    <w:basedOn w:val="Footer1"/>
    <w:pPr>
      <w:spacing w:before="110"/>
    </w:pPr>
    <w:rPr>
      <w:b/>
    </w:rPr>
  </w:style>
  <w:style w:type="paragraph" w:customStyle="1" w:styleId="Footer2">
    <w:name w:val="Footer2"/>
    <w:rPr>
      <w:rFonts w:ascii="Arial" w:hAnsi="Arial"/>
      <w:sz w:val="16"/>
      <w:szCs w:val="16"/>
    </w:rPr>
  </w:style>
  <w:style w:type="paragraph" w:customStyle="1" w:styleId="Pressinformation">
    <w:name w:val="Press information"/>
    <w:pPr>
      <w:spacing w:after="110"/>
    </w:pPr>
    <w:rPr>
      <w:rFonts w:ascii="Arial" w:hAnsi="Arial"/>
      <w:noProof/>
      <w:sz w:val="26"/>
    </w:rPr>
  </w:style>
  <w:style w:type="paragraph" w:customStyle="1" w:styleId="ReferenceNumber">
    <w:name w:val="Reference Number"/>
    <w:rPr>
      <w:rFonts w:ascii="Arial" w:hAnsi="Arial"/>
      <w:noProof/>
      <w:sz w:val="16"/>
      <w:szCs w:val="16"/>
    </w:rPr>
  </w:style>
  <w:style w:type="paragraph" w:customStyle="1" w:styleId="NameSector">
    <w:name w:val="Name Sector"/>
    <w:basedOn w:val="SiemensLogo"/>
    <w:pPr>
      <w:spacing w:after="110"/>
    </w:pPr>
    <w:rPr>
      <w:b/>
      <w:sz w:val="20"/>
    </w:rPr>
  </w:style>
  <w:style w:type="paragraph" w:customStyle="1" w:styleId="scforgzeile">
    <w:name w:val="scforgzeile"/>
    <w:basedOn w:val="SiemensLogo"/>
    <w:pPr>
      <w:tabs>
        <w:tab w:val="right" w:pos="9639"/>
      </w:tabs>
    </w:pPr>
    <w:rPr>
      <w:sz w:val="16"/>
    </w:rPr>
  </w:style>
  <w:style w:type="paragraph" w:customStyle="1" w:styleId="HeaderPage2">
    <w:name w:val="Header Page 2"/>
    <w:basedOn w:val="SiemensLogo"/>
    <w:rPr>
      <w:sz w:val="20"/>
    </w:rPr>
  </w:style>
  <w:style w:type="paragraph" w:customStyle="1" w:styleId="PressSign">
    <w:name w:val="Press Sign"/>
    <w:basedOn w:val="SiemensLogo"/>
    <w:pPr>
      <w:spacing w:after="40"/>
      <w:ind w:left="-57"/>
    </w:pPr>
    <w:rPr>
      <w:color w:val="A6A6A6"/>
      <w:sz w:val="62"/>
    </w:rPr>
  </w:style>
  <w:style w:type="paragraph" w:customStyle="1" w:styleId="Datum1">
    <w:name w:val="Datum1"/>
    <w:basedOn w:val="Bodytext"/>
    <w:pPr>
      <w:spacing w:before="110" w:line="240" w:lineRule="auto"/>
    </w:pPr>
    <w:rPr>
      <w:sz w:val="20"/>
    </w:rPr>
  </w:style>
  <w:style w:type="paragraph" w:customStyle="1" w:styleId="Company">
    <w:name w:val="Company"/>
    <w:basedOn w:val="Pressinformation"/>
    <w:pPr>
      <w:spacing w:before="110" w:after="0"/>
    </w:pPr>
    <w:rPr>
      <w:b/>
    </w:rPr>
  </w:style>
  <w:style w:type="paragraph" w:customStyle="1" w:styleId="BulletsListing">
    <w:name w:val="Bullets Listing"/>
    <w:basedOn w:val="Bodytext"/>
    <w:qFormat/>
    <w:pPr>
      <w:numPr>
        <w:numId w:val="3"/>
      </w:numPr>
    </w:pPr>
    <w:rPr>
      <w:b/>
    </w:rPr>
  </w:style>
  <w:style w:type="paragraph" w:customStyle="1" w:styleId="NameDivision">
    <w:name w:val="Name Division"/>
    <w:basedOn w:val="SiemensLogo"/>
    <w:pPr>
      <w:spacing w:before="110"/>
    </w:pPr>
    <w:rPr>
      <w:sz w:val="20"/>
    </w:rPr>
  </w:style>
  <w:style w:type="numbering" w:styleId="111111">
    <w:name w:val="Outline List 2"/>
    <w:basedOn w:val="NoList"/>
    <w:semiHidden/>
    <w:pPr>
      <w:numPr>
        <w:numId w:val="11"/>
      </w:numPr>
    </w:pPr>
  </w:style>
  <w:style w:type="character" w:styleId="Hyperlink">
    <w:name w:val="Hyperlink"/>
    <w:basedOn w:val="DefaultParagraphFont"/>
    <w:uiPriority w:val="99"/>
    <w:rPr>
      <w:color w:val="0000FF"/>
      <w:u w:val="single"/>
    </w:rPr>
  </w:style>
  <w:style w:type="paragraph" w:customStyle="1" w:styleId="Boilerplate">
    <w:name w:val="Boilerplate"/>
    <w:basedOn w:val="Bodytext"/>
    <w:pPr>
      <w:keepLines/>
    </w:pPr>
    <w:rPr>
      <w:sz w:val="16"/>
    </w:rPr>
  </w:style>
  <w:style w:type="paragraph" w:customStyle="1" w:styleId="Disclaimer">
    <w:name w:val="Disclaimer"/>
    <w:basedOn w:val="Bodytext"/>
    <w:pPr>
      <w:keepLines/>
    </w:pPr>
    <w:rPr>
      <w:sz w:val="16"/>
    </w:rPr>
  </w:style>
  <w:style w:type="paragraph" w:customStyle="1" w:styleId="Headline">
    <w:name w:val="Headline"/>
    <w:next w:val="Bodytext"/>
    <w:qFormat/>
    <w:rPr>
      <w:rFonts w:ascii="Arial" w:hAnsi="Arial"/>
      <w:sz w:val="40"/>
    </w:rPr>
  </w:style>
  <w:style w:type="numbering" w:styleId="1ai">
    <w:name w:val="Outline List 1"/>
    <w:basedOn w:val="NoList"/>
    <w:semiHidden/>
    <w:pPr>
      <w:numPr>
        <w:numId w:val="12"/>
      </w:numPr>
    </w:pPr>
  </w:style>
  <w:style w:type="paragraph" w:styleId="Salutation">
    <w:name w:val="Salutation"/>
    <w:basedOn w:val="Normal"/>
    <w:next w:val="Normal"/>
    <w:semiHidden/>
    <w:rPr>
      <w:rFonts w:ascii="Arial" w:eastAsia="Times New Roman" w:hAnsi="Arial"/>
      <w:sz w:val="20"/>
      <w:szCs w:val="20"/>
      <w:lang w:val="de-DE" w:eastAsia="de-DE"/>
    </w:rPr>
  </w:style>
  <w:style w:type="numbering" w:styleId="ArticleSection">
    <w:name w:val="Outline List 3"/>
    <w:basedOn w:val="NoList"/>
    <w:semiHidden/>
    <w:pPr>
      <w:numPr>
        <w:numId w:val="13"/>
      </w:numPr>
    </w:pPr>
  </w:style>
  <w:style w:type="paragraph" w:styleId="ListBullet">
    <w:name w:val="List Bullet"/>
    <w:basedOn w:val="Normal"/>
    <w:semiHidden/>
    <w:pPr>
      <w:numPr>
        <w:numId w:val="6"/>
      </w:numPr>
    </w:pPr>
    <w:rPr>
      <w:rFonts w:ascii="Arial" w:eastAsia="Times New Roman" w:hAnsi="Arial"/>
      <w:sz w:val="20"/>
      <w:szCs w:val="20"/>
      <w:lang w:val="de-DE" w:eastAsia="de-DE"/>
    </w:rPr>
  </w:style>
  <w:style w:type="paragraph" w:styleId="ListBullet2">
    <w:name w:val="List Bullet 2"/>
    <w:basedOn w:val="Normal"/>
    <w:semiHidden/>
    <w:pPr>
      <w:numPr>
        <w:numId w:val="7"/>
      </w:numPr>
    </w:pPr>
    <w:rPr>
      <w:rFonts w:ascii="Arial" w:eastAsia="Times New Roman" w:hAnsi="Arial"/>
      <w:sz w:val="20"/>
      <w:szCs w:val="20"/>
      <w:lang w:val="de-DE" w:eastAsia="de-DE"/>
    </w:rPr>
  </w:style>
  <w:style w:type="paragraph" w:styleId="ListBullet3">
    <w:name w:val="List Bullet 3"/>
    <w:basedOn w:val="Normal"/>
    <w:semiHidden/>
    <w:pPr>
      <w:numPr>
        <w:numId w:val="8"/>
      </w:numPr>
    </w:pPr>
    <w:rPr>
      <w:rFonts w:ascii="Arial" w:eastAsia="Times New Roman" w:hAnsi="Arial"/>
      <w:sz w:val="20"/>
      <w:szCs w:val="20"/>
      <w:lang w:val="de-DE" w:eastAsia="de-DE"/>
    </w:rPr>
  </w:style>
  <w:style w:type="paragraph" w:styleId="ListBullet4">
    <w:name w:val="List Bullet 4"/>
    <w:basedOn w:val="Normal"/>
    <w:semiHidden/>
    <w:pPr>
      <w:numPr>
        <w:numId w:val="9"/>
      </w:numPr>
    </w:pPr>
    <w:rPr>
      <w:rFonts w:ascii="Arial" w:eastAsia="Times New Roman" w:hAnsi="Arial"/>
      <w:sz w:val="20"/>
      <w:szCs w:val="20"/>
      <w:lang w:val="de-DE" w:eastAsia="de-DE"/>
    </w:rPr>
  </w:style>
  <w:style w:type="paragraph" w:styleId="ListBullet5">
    <w:name w:val="List Bullet 5"/>
    <w:basedOn w:val="Normal"/>
    <w:semiHidden/>
    <w:pPr>
      <w:numPr>
        <w:numId w:val="10"/>
      </w:numPr>
    </w:pPr>
    <w:rPr>
      <w:rFonts w:ascii="Arial" w:eastAsia="Times New Roman" w:hAnsi="Arial"/>
      <w:sz w:val="20"/>
      <w:szCs w:val="20"/>
      <w:lang w:val="de-DE" w:eastAsia="de-DE"/>
    </w:rPr>
  </w:style>
  <w:style w:type="character" w:styleId="FollowedHyperlink">
    <w:name w:val="FollowedHyperlink"/>
    <w:basedOn w:val="DefaultParagraphFont"/>
    <w:semiHidden/>
    <w:rPr>
      <w:color w:val="800080"/>
      <w:u w:val="single"/>
    </w:rPr>
  </w:style>
  <w:style w:type="paragraph" w:styleId="BlockText">
    <w:name w:val="Block Text"/>
    <w:basedOn w:val="Normal"/>
    <w:semiHidden/>
    <w:pPr>
      <w:spacing w:after="120"/>
      <w:ind w:left="1440" w:right="1440"/>
    </w:pPr>
    <w:rPr>
      <w:rFonts w:ascii="Arial" w:eastAsia="Times New Roman" w:hAnsi="Arial"/>
      <w:sz w:val="20"/>
      <w:szCs w:val="20"/>
      <w:lang w:val="de-DE" w:eastAsia="de-DE"/>
    </w:rPr>
  </w:style>
  <w:style w:type="paragraph" w:styleId="Date">
    <w:name w:val="Date"/>
    <w:basedOn w:val="Normal"/>
    <w:next w:val="Normal"/>
    <w:semiHidden/>
    <w:rPr>
      <w:rFonts w:ascii="Arial" w:eastAsia="Times New Roman" w:hAnsi="Arial"/>
      <w:sz w:val="20"/>
      <w:szCs w:val="20"/>
      <w:lang w:val="de-DE" w:eastAsia="de-DE"/>
    </w:rPr>
  </w:style>
  <w:style w:type="paragraph" w:styleId="E-mailSignature">
    <w:name w:val="E-mail Signature"/>
    <w:basedOn w:val="Normal"/>
    <w:semiHidden/>
    <w:rPr>
      <w:rFonts w:ascii="Arial" w:eastAsia="Times New Roman" w:hAnsi="Arial"/>
      <w:sz w:val="20"/>
      <w:szCs w:val="20"/>
      <w:lang w:val="de-DE" w:eastAsia="de-DE"/>
    </w:rPr>
  </w:style>
  <w:style w:type="character" w:styleId="Strong">
    <w:name w:val="Strong"/>
    <w:basedOn w:val="DefaultParagraphFont"/>
    <w:qFormat/>
    <w:rPr>
      <w:b/>
      <w:bCs/>
    </w:rPr>
  </w:style>
  <w:style w:type="paragraph" w:styleId="NoteHeading">
    <w:name w:val="Note Heading"/>
    <w:basedOn w:val="Normal"/>
    <w:next w:val="Normal"/>
    <w:semiHidden/>
    <w:rPr>
      <w:rFonts w:ascii="Arial" w:eastAsia="Times New Roman" w:hAnsi="Arial"/>
      <w:sz w:val="20"/>
      <w:szCs w:val="20"/>
      <w:lang w:val="de-DE" w:eastAsia="de-DE"/>
    </w:rPr>
  </w:style>
  <w:style w:type="paragraph" w:styleId="Closing">
    <w:name w:val="Closing"/>
    <w:basedOn w:val="Normal"/>
    <w:semiHidden/>
    <w:pPr>
      <w:ind w:left="4252"/>
    </w:pPr>
    <w:rPr>
      <w:rFonts w:ascii="Arial" w:eastAsia="Times New Roman" w:hAnsi="Arial"/>
      <w:sz w:val="20"/>
      <w:szCs w:val="20"/>
      <w:lang w:val="de-DE" w:eastAsia="de-DE"/>
    </w:rPr>
  </w:style>
  <w:style w:type="character" w:styleId="Emphasis">
    <w:name w:val="Emphasis"/>
    <w:basedOn w:val="DefaultParagraphFont"/>
    <w:qFormat/>
    <w:rPr>
      <w:i/>
      <w:iCs/>
    </w:rPr>
  </w:style>
  <w:style w:type="paragraph" w:styleId="HTMLAddress">
    <w:name w:val="HTML Address"/>
    <w:basedOn w:val="Normal"/>
    <w:semiHidden/>
    <w:rPr>
      <w:rFonts w:ascii="Arial" w:eastAsia="Times New Roman" w:hAnsi="Arial"/>
      <w:i/>
      <w:iCs/>
      <w:sz w:val="20"/>
      <w:szCs w:val="20"/>
      <w:lang w:val="de-DE" w:eastAsia="de-DE"/>
    </w:rPr>
  </w:style>
  <w:style w:type="character" w:styleId="HTMLAcronym">
    <w:name w:val="HTML Acronym"/>
    <w:basedOn w:val="DefaultParagraphFont"/>
    <w:semiHidden/>
  </w:style>
  <w:style w:type="character" w:styleId="HTMLSample">
    <w:name w:val="HTML Sample"/>
    <w:basedOn w:val="DefaultParagraphFont"/>
    <w:semiHidden/>
    <w:rPr>
      <w:rFonts w:ascii="Courier New" w:hAnsi="Courier New" w:cs="Courier New"/>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Typewriter">
    <w:name w:val="HTML Typewriter"/>
    <w:basedOn w:val="DefaultParagraphFont"/>
    <w:semiHidden/>
    <w:rPr>
      <w:rFonts w:ascii="Courier New" w:hAnsi="Courier New" w:cs="Courier New"/>
      <w:sz w:val="20"/>
      <w:szCs w:val="20"/>
    </w:rPr>
  </w:style>
  <w:style w:type="character" w:styleId="HTMLKeyboard">
    <w:name w:val="HTML Keyboard"/>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paragraph" w:styleId="HTMLPreformatted">
    <w:name w:val="HTML Preformatted"/>
    <w:basedOn w:val="Normal"/>
    <w:semiHidden/>
    <w:rPr>
      <w:rFonts w:ascii="Courier New" w:eastAsia="Times New Roman" w:hAnsi="Courier New" w:cs="Courier New"/>
      <w:sz w:val="20"/>
      <w:szCs w:val="20"/>
      <w:lang w:val="de-DE" w:eastAsia="de-DE"/>
    </w:rPr>
  </w:style>
  <w:style w:type="character" w:styleId="HTMLCite">
    <w:name w:val="HTML Cite"/>
    <w:basedOn w:val="DefaultParagraphFont"/>
    <w:semiHidden/>
    <w:rPr>
      <w:i/>
      <w:iCs/>
    </w:rPr>
  </w:style>
  <w:style w:type="paragraph" w:styleId="List">
    <w:name w:val="List"/>
    <w:basedOn w:val="Normal"/>
    <w:semiHidden/>
    <w:pPr>
      <w:ind w:left="283" w:hanging="283"/>
    </w:pPr>
    <w:rPr>
      <w:rFonts w:ascii="Arial" w:eastAsia="Times New Roman" w:hAnsi="Arial"/>
      <w:sz w:val="20"/>
      <w:szCs w:val="20"/>
      <w:lang w:val="de-DE" w:eastAsia="de-DE"/>
    </w:rPr>
  </w:style>
  <w:style w:type="paragraph" w:styleId="List2">
    <w:name w:val="List 2"/>
    <w:basedOn w:val="Normal"/>
    <w:semiHidden/>
    <w:pPr>
      <w:ind w:left="566" w:hanging="283"/>
    </w:pPr>
    <w:rPr>
      <w:rFonts w:ascii="Arial" w:eastAsia="Times New Roman" w:hAnsi="Arial"/>
      <w:sz w:val="20"/>
      <w:szCs w:val="20"/>
      <w:lang w:val="de-DE" w:eastAsia="de-DE"/>
    </w:rPr>
  </w:style>
  <w:style w:type="paragraph" w:styleId="List3">
    <w:name w:val="List 3"/>
    <w:basedOn w:val="Normal"/>
    <w:semiHidden/>
    <w:pPr>
      <w:ind w:left="849" w:hanging="283"/>
    </w:pPr>
    <w:rPr>
      <w:rFonts w:ascii="Arial" w:eastAsia="Times New Roman" w:hAnsi="Arial"/>
      <w:sz w:val="20"/>
      <w:szCs w:val="20"/>
      <w:lang w:val="de-DE" w:eastAsia="de-DE"/>
    </w:rPr>
  </w:style>
  <w:style w:type="paragraph" w:styleId="List4">
    <w:name w:val="List 4"/>
    <w:basedOn w:val="Normal"/>
    <w:semiHidden/>
    <w:pPr>
      <w:ind w:left="1132" w:hanging="283"/>
    </w:pPr>
    <w:rPr>
      <w:rFonts w:ascii="Arial" w:eastAsia="Times New Roman" w:hAnsi="Arial"/>
      <w:sz w:val="20"/>
      <w:szCs w:val="20"/>
      <w:lang w:val="de-DE" w:eastAsia="de-DE"/>
    </w:rPr>
  </w:style>
  <w:style w:type="paragraph" w:styleId="List5">
    <w:name w:val="List 5"/>
    <w:basedOn w:val="Normal"/>
    <w:semiHidden/>
    <w:pPr>
      <w:ind w:left="1415" w:hanging="283"/>
    </w:pPr>
    <w:rPr>
      <w:rFonts w:ascii="Arial" w:eastAsia="Times New Roman" w:hAnsi="Arial"/>
      <w:sz w:val="20"/>
      <w:szCs w:val="20"/>
      <w:lang w:val="de-DE" w:eastAsia="de-DE"/>
    </w:rPr>
  </w:style>
  <w:style w:type="paragraph" w:styleId="ListContinue">
    <w:name w:val="List Continue"/>
    <w:basedOn w:val="Normal"/>
    <w:semiHidden/>
    <w:pPr>
      <w:spacing w:after="120"/>
      <w:ind w:left="283"/>
    </w:pPr>
    <w:rPr>
      <w:rFonts w:ascii="Arial" w:eastAsia="Times New Roman" w:hAnsi="Arial"/>
      <w:sz w:val="20"/>
      <w:szCs w:val="20"/>
      <w:lang w:val="de-DE" w:eastAsia="de-DE"/>
    </w:rPr>
  </w:style>
  <w:style w:type="paragraph" w:styleId="ListContinue2">
    <w:name w:val="List Continue 2"/>
    <w:basedOn w:val="Normal"/>
    <w:semiHidden/>
    <w:pPr>
      <w:spacing w:after="120"/>
      <w:ind w:left="566"/>
    </w:pPr>
    <w:rPr>
      <w:rFonts w:ascii="Arial" w:eastAsia="Times New Roman" w:hAnsi="Arial"/>
      <w:sz w:val="20"/>
      <w:szCs w:val="20"/>
      <w:lang w:val="de-DE" w:eastAsia="de-DE"/>
    </w:rPr>
  </w:style>
  <w:style w:type="paragraph" w:styleId="ListContinue3">
    <w:name w:val="List Continue 3"/>
    <w:basedOn w:val="Normal"/>
    <w:semiHidden/>
    <w:pPr>
      <w:spacing w:after="120"/>
      <w:ind w:left="849"/>
    </w:pPr>
    <w:rPr>
      <w:rFonts w:ascii="Arial" w:eastAsia="Times New Roman" w:hAnsi="Arial"/>
      <w:sz w:val="20"/>
      <w:szCs w:val="20"/>
      <w:lang w:val="de-DE" w:eastAsia="de-DE"/>
    </w:rPr>
  </w:style>
  <w:style w:type="paragraph" w:styleId="ListContinue4">
    <w:name w:val="List Continue 4"/>
    <w:basedOn w:val="Normal"/>
    <w:semiHidden/>
    <w:pPr>
      <w:spacing w:after="120"/>
      <w:ind w:left="1132"/>
    </w:pPr>
    <w:rPr>
      <w:rFonts w:ascii="Arial" w:eastAsia="Times New Roman" w:hAnsi="Arial"/>
      <w:sz w:val="20"/>
      <w:szCs w:val="20"/>
      <w:lang w:val="de-DE" w:eastAsia="de-DE"/>
    </w:rPr>
  </w:style>
  <w:style w:type="paragraph" w:styleId="ListContinue5">
    <w:name w:val="List Continue 5"/>
    <w:basedOn w:val="Normal"/>
    <w:semiHidden/>
    <w:pPr>
      <w:spacing w:after="120"/>
      <w:ind w:left="1415"/>
    </w:pPr>
    <w:rPr>
      <w:rFonts w:ascii="Arial" w:eastAsia="Times New Roman" w:hAnsi="Arial"/>
      <w:sz w:val="20"/>
      <w:szCs w:val="20"/>
      <w:lang w:val="de-DE" w:eastAsia="de-DE"/>
    </w:rPr>
  </w:style>
  <w:style w:type="paragraph" w:styleId="ListNumber">
    <w:name w:val="List Number"/>
    <w:basedOn w:val="Normal"/>
    <w:semiHidden/>
    <w:pPr>
      <w:numPr>
        <w:numId w:val="14"/>
      </w:numPr>
    </w:pPr>
    <w:rPr>
      <w:rFonts w:ascii="Arial" w:eastAsia="Times New Roman" w:hAnsi="Arial"/>
      <w:sz w:val="20"/>
      <w:szCs w:val="20"/>
      <w:lang w:val="de-DE" w:eastAsia="de-DE"/>
    </w:rPr>
  </w:style>
  <w:style w:type="paragraph" w:styleId="ListNumber2">
    <w:name w:val="List Number 2"/>
    <w:basedOn w:val="Normal"/>
    <w:semiHidden/>
    <w:pPr>
      <w:numPr>
        <w:numId w:val="15"/>
      </w:numPr>
    </w:pPr>
    <w:rPr>
      <w:rFonts w:ascii="Arial" w:eastAsia="Times New Roman" w:hAnsi="Arial"/>
      <w:sz w:val="20"/>
      <w:szCs w:val="20"/>
      <w:lang w:val="de-DE" w:eastAsia="de-DE"/>
    </w:rPr>
  </w:style>
  <w:style w:type="paragraph" w:styleId="ListNumber3">
    <w:name w:val="List Number 3"/>
    <w:basedOn w:val="Normal"/>
    <w:semiHidden/>
    <w:pPr>
      <w:numPr>
        <w:numId w:val="16"/>
      </w:numPr>
    </w:pPr>
    <w:rPr>
      <w:rFonts w:ascii="Arial" w:eastAsia="Times New Roman" w:hAnsi="Arial"/>
      <w:sz w:val="20"/>
      <w:szCs w:val="20"/>
      <w:lang w:val="de-DE" w:eastAsia="de-DE"/>
    </w:rPr>
  </w:style>
  <w:style w:type="paragraph" w:styleId="ListNumber4">
    <w:name w:val="List Number 4"/>
    <w:basedOn w:val="Normal"/>
    <w:semiHidden/>
    <w:pPr>
      <w:numPr>
        <w:numId w:val="17"/>
      </w:numPr>
    </w:pPr>
    <w:rPr>
      <w:rFonts w:ascii="Arial" w:eastAsia="Times New Roman" w:hAnsi="Arial"/>
      <w:sz w:val="20"/>
      <w:szCs w:val="20"/>
      <w:lang w:val="de-DE" w:eastAsia="de-DE"/>
    </w:rPr>
  </w:style>
  <w:style w:type="paragraph" w:styleId="ListNumber5">
    <w:name w:val="List Number 5"/>
    <w:basedOn w:val="Normal"/>
    <w:semiHidden/>
    <w:pPr>
      <w:numPr>
        <w:numId w:val="18"/>
      </w:numPr>
    </w:pPr>
    <w:rPr>
      <w:rFonts w:ascii="Arial" w:eastAsia="Times New Roman" w:hAnsi="Arial"/>
      <w:sz w:val="20"/>
      <w:szCs w:val="20"/>
      <w:lang w:val="de-DE" w:eastAsia="de-DE"/>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val="de-DE" w:eastAsia="de-DE"/>
    </w:rPr>
  </w:style>
  <w:style w:type="paragraph" w:styleId="PlainText">
    <w:name w:val="Plain Text"/>
    <w:basedOn w:val="Normal"/>
    <w:semiHidden/>
    <w:rPr>
      <w:rFonts w:ascii="Courier New" w:eastAsia="Times New Roman" w:hAnsi="Courier New" w:cs="Courier New"/>
      <w:sz w:val="20"/>
      <w:szCs w:val="20"/>
      <w:lang w:val="de-DE" w:eastAsia="de-DE"/>
    </w:rPr>
  </w:style>
  <w:style w:type="character" w:styleId="PageNumber">
    <w:name w:val="page number"/>
    <w:basedOn w:val="DefaultParagraphFont"/>
    <w:semiHidden/>
  </w:style>
  <w:style w:type="paragraph" w:styleId="NormalWeb">
    <w:name w:val="Normal (Web)"/>
    <w:basedOn w:val="Normal"/>
    <w:semiHidden/>
    <w:rPr>
      <w:rFonts w:ascii="Times New Roman" w:eastAsia="Times New Roman" w:hAnsi="Times New Roman"/>
      <w:sz w:val="24"/>
      <w:szCs w:val="24"/>
      <w:lang w:val="de-DE" w:eastAsia="de-DE"/>
    </w:rPr>
  </w:style>
  <w:style w:type="paragraph" w:styleId="NormalIndent">
    <w:name w:val="Normal Indent"/>
    <w:basedOn w:val="Normal"/>
    <w:semiHidden/>
    <w:pPr>
      <w:ind w:left="720"/>
    </w:pPr>
    <w:rPr>
      <w:rFonts w:ascii="Arial" w:eastAsia="Times New Roman" w:hAnsi="Arial"/>
      <w:sz w:val="20"/>
      <w:szCs w:val="20"/>
      <w:lang w:val="de-DE" w:eastAsia="de-DE"/>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semiHidden/>
    <w:pPr>
      <w:spacing w:after="120"/>
    </w:pPr>
    <w:rPr>
      <w:rFonts w:ascii="Arial" w:eastAsia="Times New Roman" w:hAnsi="Arial"/>
      <w:sz w:val="20"/>
      <w:szCs w:val="20"/>
      <w:lang w:val="de-DE" w:eastAsia="de-DE"/>
    </w:rPr>
  </w:style>
  <w:style w:type="paragraph" w:styleId="BodyText2">
    <w:name w:val="Body Text 2"/>
    <w:basedOn w:val="Normal"/>
    <w:semiHidden/>
    <w:pPr>
      <w:spacing w:after="120" w:line="480" w:lineRule="auto"/>
    </w:pPr>
    <w:rPr>
      <w:rFonts w:ascii="Arial" w:eastAsia="Times New Roman" w:hAnsi="Arial"/>
      <w:sz w:val="20"/>
      <w:szCs w:val="20"/>
      <w:lang w:val="de-DE" w:eastAsia="de-DE"/>
    </w:rPr>
  </w:style>
  <w:style w:type="paragraph" w:styleId="BodyText3">
    <w:name w:val="Body Text 3"/>
    <w:basedOn w:val="Normal"/>
    <w:semiHidden/>
    <w:pPr>
      <w:spacing w:after="120"/>
    </w:pPr>
    <w:rPr>
      <w:rFonts w:ascii="Arial" w:eastAsia="Times New Roman" w:hAnsi="Arial"/>
      <w:sz w:val="16"/>
      <w:szCs w:val="16"/>
      <w:lang w:val="de-DE" w:eastAsia="de-DE"/>
    </w:rPr>
  </w:style>
  <w:style w:type="paragraph" w:styleId="BodyTextIndent2">
    <w:name w:val="Body Text Indent 2"/>
    <w:basedOn w:val="Normal"/>
    <w:semiHidden/>
    <w:pPr>
      <w:spacing w:after="120" w:line="480" w:lineRule="auto"/>
      <w:ind w:left="283"/>
    </w:pPr>
    <w:rPr>
      <w:rFonts w:ascii="Arial" w:eastAsia="Times New Roman" w:hAnsi="Arial"/>
      <w:sz w:val="20"/>
      <w:szCs w:val="20"/>
      <w:lang w:val="de-DE" w:eastAsia="de-DE"/>
    </w:rPr>
  </w:style>
  <w:style w:type="paragraph" w:styleId="BodyTextIndent3">
    <w:name w:val="Body Text Indent 3"/>
    <w:basedOn w:val="Normal"/>
    <w:semiHidden/>
    <w:pPr>
      <w:spacing w:after="120"/>
      <w:ind w:left="283"/>
    </w:pPr>
    <w:rPr>
      <w:rFonts w:ascii="Arial" w:eastAsia="Times New Roman" w:hAnsi="Arial"/>
      <w:sz w:val="16"/>
      <w:szCs w:val="16"/>
      <w:lang w:val="de-DE" w:eastAsia="de-DE"/>
    </w:rPr>
  </w:style>
  <w:style w:type="paragraph" w:styleId="BodyTextFirstIndent">
    <w:name w:val="Body Text First Indent"/>
    <w:basedOn w:val="BodyText0"/>
    <w:semiHidden/>
    <w:pPr>
      <w:ind w:firstLine="210"/>
    </w:pPr>
  </w:style>
  <w:style w:type="paragraph" w:styleId="BodyTextIndent">
    <w:name w:val="Body Text Indent"/>
    <w:basedOn w:val="Normal"/>
    <w:semiHidden/>
    <w:pPr>
      <w:spacing w:after="120"/>
      <w:ind w:left="283"/>
    </w:pPr>
    <w:rPr>
      <w:rFonts w:ascii="Arial" w:eastAsia="Times New Roman" w:hAnsi="Arial"/>
      <w:sz w:val="20"/>
      <w:szCs w:val="20"/>
      <w:lang w:val="de-DE" w:eastAsia="de-DE"/>
    </w:rPr>
  </w:style>
  <w:style w:type="paragraph" w:styleId="BodyTextFirstIndent2">
    <w:name w:val="Body Text First Indent 2"/>
    <w:basedOn w:val="BodyTextIndent"/>
    <w:semiHidden/>
    <w:pPr>
      <w:ind w:firstLine="210"/>
    </w:pPr>
  </w:style>
  <w:style w:type="paragraph" w:styleId="Title">
    <w:name w:val="Title"/>
    <w:basedOn w:val="Normal"/>
    <w:qFormat/>
    <w:pPr>
      <w:spacing w:before="240" w:after="60"/>
      <w:jc w:val="center"/>
      <w:outlineLvl w:val="0"/>
    </w:pPr>
    <w:rPr>
      <w:rFonts w:ascii="Arial" w:eastAsia="Times New Roman" w:hAnsi="Arial" w:cs="Arial"/>
      <w:b/>
      <w:bCs/>
      <w:kern w:val="28"/>
      <w:sz w:val="32"/>
      <w:szCs w:val="32"/>
      <w:lang w:val="de-DE" w:eastAsia="de-DE"/>
    </w:rPr>
  </w:style>
  <w:style w:type="paragraph" w:styleId="EnvelopeReturn">
    <w:name w:val="envelope return"/>
    <w:basedOn w:val="Normal"/>
    <w:semiHidden/>
    <w:rPr>
      <w:rFonts w:ascii="Arial" w:eastAsia="Times New Roman" w:hAnsi="Arial" w:cs="Arial"/>
      <w:sz w:val="20"/>
      <w:szCs w:val="20"/>
      <w:lang w:val="de-DE" w:eastAsia="de-DE"/>
    </w:rPr>
  </w:style>
  <w:style w:type="paragraph" w:styleId="EnvelopeAddress">
    <w:name w:val="envelope address"/>
    <w:basedOn w:val="Normal"/>
    <w:semiHidden/>
    <w:pPr>
      <w:framePr w:w="7920" w:h="1980" w:hRule="exact" w:hSpace="180" w:wrap="auto" w:hAnchor="page" w:xAlign="center" w:yAlign="bottom"/>
      <w:ind w:left="2880"/>
    </w:pPr>
    <w:rPr>
      <w:rFonts w:ascii="Arial" w:eastAsia="Times New Roman" w:hAnsi="Arial" w:cs="Arial"/>
      <w:sz w:val="24"/>
      <w:szCs w:val="24"/>
      <w:lang w:val="de-DE" w:eastAsia="de-DE"/>
    </w:rPr>
  </w:style>
  <w:style w:type="paragraph" w:styleId="Signature">
    <w:name w:val="Signature"/>
    <w:basedOn w:val="Normal"/>
    <w:semiHidden/>
    <w:pPr>
      <w:ind w:left="4252"/>
    </w:pPr>
    <w:rPr>
      <w:rFonts w:ascii="Arial" w:eastAsia="Times New Roman" w:hAnsi="Arial"/>
      <w:sz w:val="20"/>
      <w:szCs w:val="20"/>
      <w:lang w:val="de-DE" w:eastAsia="de-DE"/>
    </w:rPr>
  </w:style>
  <w:style w:type="paragraph" w:styleId="Subtitle">
    <w:name w:val="Subtitle"/>
    <w:basedOn w:val="Normal"/>
    <w:qFormat/>
    <w:pPr>
      <w:spacing w:after="60"/>
      <w:jc w:val="center"/>
      <w:outlineLvl w:val="1"/>
    </w:pPr>
    <w:rPr>
      <w:rFonts w:ascii="Arial" w:eastAsia="Times New Roman" w:hAnsi="Arial" w:cs="Arial"/>
      <w:sz w:val="24"/>
      <w:szCs w:val="24"/>
      <w:lang w:val="de-DE" w:eastAsia="de-DE"/>
    </w:rPr>
  </w:style>
  <w:style w:type="character" w:styleId="LineNumber">
    <w:name w:val="line number"/>
    <w:basedOn w:val="DefaultParagraphFont"/>
    <w:semiHidden/>
  </w:style>
  <w:style w:type="paragraph" w:customStyle="1" w:styleId="ExhibitionInfo">
    <w:name w:val="Exhibition Info"/>
    <w:pPr>
      <w:spacing w:line="360" w:lineRule="auto"/>
    </w:pPr>
    <w:rPr>
      <w:rFonts w:ascii="Arial" w:hAnsi="Arial"/>
      <w:b/>
      <w:sz w:val="22"/>
    </w:rPr>
  </w:style>
  <w:style w:type="paragraph" w:customStyle="1" w:styleId="PressInformationPage2">
    <w:name w:val="Press Information Page 2"/>
    <w:basedOn w:val="Pressinformation"/>
    <w:pPr>
      <w:spacing w:after="0"/>
    </w:pPr>
    <w:rPr>
      <w:sz w:val="20"/>
    </w:rPr>
  </w:style>
  <w:style w:type="paragraph" w:customStyle="1" w:styleId="CompanyPage2">
    <w:name w:val="Company Page 2"/>
    <w:basedOn w:val="Company"/>
    <w:pPr>
      <w:spacing w:before="0"/>
    </w:pPr>
    <w:rPr>
      <w:sz w:val="20"/>
    </w:rPr>
  </w:style>
  <w:style w:type="paragraph" w:customStyle="1" w:styleId="Logo1">
    <w:name w:val="Logo1"/>
    <w:pPr>
      <w:spacing w:after="110"/>
    </w:pPr>
    <w:rPr>
      <w:rFonts w:ascii="Arial" w:hAnsi="Arial"/>
      <w:noProof/>
      <w:sz w:val="16"/>
      <w:szCs w:val="16"/>
    </w:rPr>
  </w:style>
  <w:style w:type="paragraph" w:customStyle="1" w:styleId="Logo2">
    <w:name w:val="Logo2"/>
    <w:pPr>
      <w:spacing w:after="110"/>
    </w:pPr>
    <w:rPr>
      <w:rFonts w:ascii="Arial" w:hAnsi="Arial"/>
      <w:noProof/>
      <w:sz w:val="16"/>
      <w:szCs w:val="16"/>
    </w:rPr>
  </w:style>
  <w:style w:type="paragraph" w:customStyle="1" w:styleId="Footer3">
    <w:name w:val="Footer3"/>
    <w:rPr>
      <w:rFonts w:ascii="Arial" w:hAnsi="Arial"/>
      <w:sz w:val="16"/>
      <w:szCs w:val="16"/>
    </w:rPr>
  </w:style>
  <w:style w:type="paragraph" w:customStyle="1" w:styleId="Footer2Z1">
    <w:name w:val="Footer2Z1"/>
    <w:basedOn w:val="Footer2"/>
    <w:next w:val="Footer2"/>
    <w:pPr>
      <w:spacing w:before="110"/>
    </w:pPr>
    <w:rPr>
      <w:b/>
    </w:rPr>
  </w:style>
  <w:style w:type="paragraph" w:customStyle="1" w:styleId="Logo3">
    <w:name w:val="Logo3"/>
    <w:pPr>
      <w:spacing w:after="110"/>
    </w:pPr>
    <w:rPr>
      <w:rFonts w:ascii="Arial" w:hAnsi="Arial"/>
      <w:noProof/>
      <w:sz w:val="16"/>
      <w:szCs w:val="16"/>
    </w:rPr>
  </w:style>
  <w:style w:type="paragraph" w:customStyle="1" w:styleId="Footer3Z1">
    <w:name w:val="Footer3Z1"/>
    <w:basedOn w:val="Footer3"/>
    <w:next w:val="Footer3"/>
    <w:pPr>
      <w:spacing w:before="110"/>
    </w:pPr>
    <w:rPr>
      <w:b/>
    </w:rPr>
  </w:style>
  <w:style w:type="paragraph" w:styleId="BalloonText">
    <w:name w:val="Balloon Text"/>
    <w:basedOn w:val="Normal"/>
    <w:link w:val="BalloonTextChar"/>
    <w:rPr>
      <w:rFonts w:ascii="Tahoma" w:eastAsia="Times New Roman" w:hAnsi="Tahoma" w:cs="Tahoma"/>
      <w:sz w:val="16"/>
      <w:szCs w:val="16"/>
      <w:lang w:val="de-DE" w:eastAsia="de-DE"/>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Zchn">
    <w:name w:val="Bodytext Zchn"/>
    <w:link w:val="Bodytext"/>
    <w:uiPriority w:val="99"/>
    <w:locked/>
    <w:rsid w:val="00277211"/>
    <w:rPr>
      <w:rFonts w:ascii="Arial" w:hAnsi="Arial"/>
      <w:sz w:val="22"/>
    </w:rPr>
  </w:style>
  <w:style w:type="character" w:styleId="UnresolvedMention">
    <w:name w:val="Unresolved Mention"/>
    <w:basedOn w:val="DefaultParagraphFont"/>
    <w:uiPriority w:val="99"/>
    <w:semiHidden/>
    <w:unhideWhenUsed/>
    <w:rsid w:val="002A5591"/>
    <w:rPr>
      <w:color w:val="605E5C"/>
      <w:shd w:val="clear" w:color="auto" w:fill="E1DFDD"/>
    </w:rPr>
  </w:style>
  <w:style w:type="paragraph" w:styleId="CommentText">
    <w:name w:val="annotation text"/>
    <w:basedOn w:val="Normal"/>
    <w:link w:val="CommentTextChar"/>
    <w:uiPriority w:val="1"/>
    <w:unhideWhenUsed/>
    <w:rsid w:val="002A5591"/>
    <w:rPr>
      <w:sz w:val="20"/>
      <w:szCs w:val="20"/>
    </w:rPr>
  </w:style>
  <w:style w:type="character" w:customStyle="1" w:styleId="CommentTextChar">
    <w:name w:val="Comment Text Char"/>
    <w:basedOn w:val="DefaultParagraphFont"/>
    <w:link w:val="CommentText"/>
    <w:uiPriority w:val="1"/>
    <w:rsid w:val="002A5591"/>
    <w:rPr>
      <w:rFonts w:ascii="Calibri" w:eastAsiaTheme="minorHAnsi" w:hAnsi="Calibri"/>
      <w:lang w:val="en-US" w:eastAsia="en-US"/>
    </w:rPr>
  </w:style>
  <w:style w:type="paragraph" w:customStyle="1" w:styleId="bodytext1">
    <w:name w:val="bodytext"/>
    <w:basedOn w:val="Normal"/>
    <w:rsid w:val="002A5591"/>
    <w:pPr>
      <w:spacing w:line="360" w:lineRule="auto"/>
    </w:pPr>
    <w:rPr>
      <w:lang w:val="de-DE" w:eastAsia="de-DE"/>
    </w:rPr>
  </w:style>
  <w:style w:type="paragraph" w:styleId="Revision">
    <w:name w:val="Revision"/>
    <w:hidden/>
    <w:uiPriority w:val="99"/>
    <w:semiHidden/>
    <w:rsid w:val="008A3037"/>
    <w:rPr>
      <w:rFonts w:ascii="Calibri" w:eastAsiaTheme="minorHAnsi" w:hAnsi="Calibri"/>
      <w:sz w:val="22"/>
      <w:szCs w:val="22"/>
      <w:lang w:val="en-US" w:eastAsia="en-US"/>
    </w:rPr>
  </w:style>
  <w:style w:type="character" w:styleId="CommentReference">
    <w:name w:val="annotation reference"/>
    <w:basedOn w:val="DefaultParagraphFont"/>
    <w:semiHidden/>
    <w:unhideWhenUsed/>
    <w:rsid w:val="00D0491E"/>
    <w:rPr>
      <w:sz w:val="16"/>
      <w:szCs w:val="16"/>
    </w:rPr>
  </w:style>
  <w:style w:type="paragraph" w:styleId="CommentSubject">
    <w:name w:val="annotation subject"/>
    <w:basedOn w:val="CommentText"/>
    <w:next w:val="CommentText"/>
    <w:link w:val="CommentSubjectChar"/>
    <w:semiHidden/>
    <w:unhideWhenUsed/>
    <w:rsid w:val="00C22EE2"/>
    <w:rPr>
      <w:b/>
      <w:bCs/>
    </w:rPr>
  </w:style>
  <w:style w:type="character" w:customStyle="1" w:styleId="CommentSubjectChar">
    <w:name w:val="Comment Subject Char"/>
    <w:basedOn w:val="CommentTextChar"/>
    <w:link w:val="CommentSubject"/>
    <w:semiHidden/>
    <w:rsid w:val="00C22EE2"/>
    <w:rPr>
      <w:rFonts w:ascii="Calibri" w:eastAsiaTheme="minorHAnsi" w:hAnsi="Calibr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23010">
      <w:bodyDiv w:val="1"/>
      <w:marLeft w:val="0"/>
      <w:marRight w:val="0"/>
      <w:marTop w:val="0"/>
      <w:marBottom w:val="0"/>
      <w:divBdr>
        <w:top w:val="none" w:sz="0" w:space="0" w:color="auto"/>
        <w:left w:val="none" w:sz="0" w:space="0" w:color="auto"/>
        <w:bottom w:val="none" w:sz="0" w:space="0" w:color="auto"/>
        <w:right w:val="none" w:sz="0" w:space="0" w:color="auto"/>
      </w:divBdr>
    </w:div>
    <w:div w:id="345595479">
      <w:bodyDiv w:val="1"/>
      <w:marLeft w:val="0"/>
      <w:marRight w:val="0"/>
      <w:marTop w:val="0"/>
      <w:marBottom w:val="0"/>
      <w:divBdr>
        <w:top w:val="none" w:sz="0" w:space="0" w:color="auto"/>
        <w:left w:val="none" w:sz="0" w:space="0" w:color="auto"/>
        <w:bottom w:val="none" w:sz="0" w:space="0" w:color="auto"/>
        <w:right w:val="none" w:sz="0" w:space="0" w:color="auto"/>
      </w:divBdr>
    </w:div>
    <w:div w:id="93070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tfs-initiative.com" TargetMode="External"/><Relationship Id="rId18" Type="http://schemas.openxmlformats.org/officeDocument/2006/relationships/hyperlink" Target="http://www.siemens.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iemens.de/sigreen" TargetMode="External"/><Relationship Id="rId17" Type="http://schemas.openxmlformats.org/officeDocument/2006/relationships/hyperlink" Target="mailto:maria.derycke@tfs-initiative.com" TargetMode="External"/><Relationship Id="rId2" Type="http://schemas.openxmlformats.org/officeDocument/2006/relationships/numbering" Target="numbering.xml"/><Relationship Id="rId16" Type="http://schemas.openxmlformats.org/officeDocument/2006/relationships/hyperlink" Target="mailto:laura.egger@siemens.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siemens_pres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friedrich@siemens.com" TargetMode="External"/><Relationship Id="rId23" Type="http://schemas.openxmlformats.org/officeDocument/2006/relationships/fontTable" Target="fontTable.xml"/><Relationship Id="rId10" Type="http://schemas.openxmlformats.org/officeDocument/2006/relationships/hyperlink" Target="https://cdn.cdp.net/cdp-production/cms/reports/documents/000/006/918/original/CDP-Supply-Chain-Report-2022.pdf?1678870769" TargetMode="External"/><Relationship Id="rId19" Type="http://schemas.openxmlformats.org/officeDocument/2006/relationships/hyperlink" Target="http://www.tfs-initiative.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inkedin.com/company/together-for-sustainability/?viewAsMember=true"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003p48s\Desktop\Joint%20Press%20Release%20TfS\Gemeinsame%20Pressemitteilung%20Siemens_bis%20zu_3%20Logos_de_September%202019.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F3F45A-4651-481A-8484-88CDAEC11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Gemeinsame Pressemitteilung Siemens_bis zu_3 Logos_de_September 2019</Template>
  <TotalTime>0</TotalTime>
  <Pages>4</Pages>
  <Words>1202</Words>
  <Characters>6854</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Gemeinsame Pressemitteilung Siemens AG, bis zu 3 Logos</vt:lpstr>
    </vt:vector>
  </TitlesOfParts>
  <Manager>CM MR, Mch WvS, Sparkuhle Felix</Manager>
  <Company>Siemens AG</Company>
  <LinksUpToDate>false</LinksUpToDate>
  <CharactersWithSpaces>8040</CharactersWithSpaces>
  <SharedDoc>false</SharedDoc>
  <HLinks>
    <vt:vector size="66" baseType="variant">
      <vt:variant>
        <vt:i4>2293869</vt:i4>
      </vt:variant>
      <vt:variant>
        <vt:i4>38</vt:i4>
      </vt:variant>
      <vt:variant>
        <vt:i4>0</vt:i4>
      </vt:variant>
      <vt:variant>
        <vt:i4>5</vt:i4>
      </vt:variant>
      <vt:variant>
        <vt:lpwstr>https://tfs-initiative.com/</vt:lpwstr>
      </vt:variant>
      <vt:variant>
        <vt:lpwstr/>
      </vt:variant>
      <vt:variant>
        <vt:i4>2424955</vt:i4>
      </vt:variant>
      <vt:variant>
        <vt:i4>35</vt:i4>
      </vt:variant>
      <vt:variant>
        <vt:i4>0</vt:i4>
      </vt:variant>
      <vt:variant>
        <vt:i4>5</vt:i4>
      </vt:variant>
      <vt:variant>
        <vt:lpwstr>http://www.siemens.com/</vt:lpwstr>
      </vt:variant>
      <vt:variant>
        <vt:lpwstr/>
      </vt:variant>
      <vt:variant>
        <vt:i4>2162692</vt:i4>
      </vt:variant>
      <vt:variant>
        <vt:i4>32</vt:i4>
      </vt:variant>
      <vt:variant>
        <vt:i4>0</vt:i4>
      </vt:variant>
      <vt:variant>
        <vt:i4>5</vt:i4>
      </vt:variant>
      <vt:variant>
        <vt:lpwstr>mailto:maria.derycke@tfs-initiative.com</vt:lpwstr>
      </vt:variant>
      <vt:variant>
        <vt:lpwstr/>
      </vt:variant>
      <vt:variant>
        <vt:i4>6553630</vt:i4>
      </vt:variant>
      <vt:variant>
        <vt:i4>29</vt:i4>
      </vt:variant>
      <vt:variant>
        <vt:i4>0</vt:i4>
      </vt:variant>
      <vt:variant>
        <vt:i4>5</vt:i4>
      </vt:variant>
      <vt:variant>
        <vt:lpwstr>mailto:laura.egger@siemens.com</vt:lpwstr>
      </vt:variant>
      <vt:variant>
        <vt:lpwstr/>
      </vt:variant>
      <vt:variant>
        <vt:i4>393255</vt:i4>
      </vt:variant>
      <vt:variant>
        <vt:i4>26</vt:i4>
      </vt:variant>
      <vt:variant>
        <vt:i4>0</vt:i4>
      </vt:variant>
      <vt:variant>
        <vt:i4>5</vt:i4>
      </vt:variant>
      <vt:variant>
        <vt:lpwstr>mailto:friedrich@siemens.com</vt:lpwstr>
      </vt:variant>
      <vt:variant>
        <vt:lpwstr/>
      </vt:variant>
      <vt:variant>
        <vt:i4>6488184</vt:i4>
      </vt:variant>
      <vt:variant>
        <vt:i4>20</vt:i4>
      </vt:variant>
      <vt:variant>
        <vt:i4>0</vt:i4>
      </vt:variant>
      <vt:variant>
        <vt:i4>5</vt:i4>
      </vt:variant>
      <vt:variant>
        <vt:lpwstr>https://www.linkedin.com/company/together-for-sustainability/?viewAsMember=true</vt:lpwstr>
      </vt:variant>
      <vt:variant>
        <vt:lpwstr/>
      </vt:variant>
      <vt:variant>
        <vt:i4>2293869</vt:i4>
      </vt:variant>
      <vt:variant>
        <vt:i4>17</vt:i4>
      </vt:variant>
      <vt:variant>
        <vt:i4>0</vt:i4>
      </vt:variant>
      <vt:variant>
        <vt:i4>5</vt:i4>
      </vt:variant>
      <vt:variant>
        <vt:lpwstr>https://tfs-initiative.com/</vt:lpwstr>
      </vt:variant>
      <vt:variant>
        <vt:lpwstr/>
      </vt:variant>
      <vt:variant>
        <vt:i4>1966080</vt:i4>
      </vt:variant>
      <vt:variant>
        <vt:i4>14</vt:i4>
      </vt:variant>
      <vt:variant>
        <vt:i4>0</vt:i4>
      </vt:variant>
      <vt:variant>
        <vt:i4>5</vt:i4>
      </vt:variant>
      <vt:variant>
        <vt:lpwstr>http://www.siemens.de/sigreen</vt:lpwstr>
      </vt:variant>
      <vt:variant>
        <vt:lpwstr/>
      </vt:variant>
      <vt:variant>
        <vt:i4>5767276</vt:i4>
      </vt:variant>
      <vt:variant>
        <vt:i4>11</vt:i4>
      </vt:variant>
      <vt:variant>
        <vt:i4>0</vt:i4>
      </vt:variant>
      <vt:variant>
        <vt:i4>5</vt:i4>
      </vt:variant>
      <vt:variant>
        <vt:lpwstr>http://www.twitter.com/siemens_press</vt:lpwstr>
      </vt:variant>
      <vt:variant>
        <vt:lpwstr/>
      </vt:variant>
      <vt:variant>
        <vt:i4>720977</vt:i4>
      </vt:variant>
      <vt:variant>
        <vt:i4>8</vt:i4>
      </vt:variant>
      <vt:variant>
        <vt:i4>0</vt:i4>
      </vt:variant>
      <vt:variant>
        <vt:i4>5</vt:i4>
      </vt:variant>
      <vt:variant>
        <vt:lpwstr>http://sie.ag/xxx</vt:lpwstr>
      </vt:variant>
      <vt:variant>
        <vt:lpwstr/>
      </vt:variant>
      <vt:variant>
        <vt:i4>655439</vt:i4>
      </vt:variant>
      <vt:variant>
        <vt:i4>5</vt:i4>
      </vt:variant>
      <vt:variant>
        <vt:i4>0</vt:i4>
      </vt:variant>
      <vt:variant>
        <vt:i4>5</vt:i4>
      </vt:variant>
      <vt:variant>
        <vt:lpwstr>https://cdn.cdp.net/cdp-production/cms/reports/documents/000/006/918/original/CDP-Supply-Chain-Report-2022.pdf?1678870769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Gemeinsame Pressemitteilung Siemens AG, bis zu 3 Logos</dc:title>
  <dc:subject>Presse</dc:subject>
  <dc:creator>Friedrich, Andreas (CM ME CMR)</dc:creator>
  <cp:keywords>Pressemitteilung Siemens AG deutsch</cp:keywords>
  <dc:description>Stand: 07.06.2013</dc:description>
  <cp:lastModifiedBy>DE RYCKE Maria</cp:lastModifiedBy>
  <cp:revision>3</cp:revision>
  <cp:lastPrinted>2014-07-28T17:04:00Z</cp:lastPrinted>
  <dcterms:created xsi:type="dcterms:W3CDTF">2023-05-15T16:50:00Z</dcterms:created>
  <dcterms:modified xsi:type="dcterms:W3CDTF">2023-05-15T16:52:00Z</dcterms:modified>
  <cp:category>2013-06-07/sw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258917-277f-42cd-a3cd-14c4e9ee58bc_Enabled">
    <vt:lpwstr>true</vt:lpwstr>
  </property>
  <property fmtid="{D5CDD505-2E9C-101B-9397-08002B2CF9AE}" pid="3" name="MSIP_Label_9d258917-277f-42cd-a3cd-14c4e9ee58bc_SetDate">
    <vt:lpwstr>2023-05-15T09:02:48Z</vt:lpwstr>
  </property>
  <property fmtid="{D5CDD505-2E9C-101B-9397-08002B2CF9AE}" pid="4" name="MSIP_Label_9d258917-277f-42cd-a3cd-14c4e9ee58bc_Method">
    <vt:lpwstr>Standard</vt:lpwstr>
  </property>
  <property fmtid="{D5CDD505-2E9C-101B-9397-08002B2CF9AE}" pid="5" name="MSIP_Label_9d258917-277f-42cd-a3cd-14c4e9ee58bc_Name">
    <vt:lpwstr>restricted</vt:lpwstr>
  </property>
  <property fmtid="{D5CDD505-2E9C-101B-9397-08002B2CF9AE}" pid="6" name="MSIP_Label_9d258917-277f-42cd-a3cd-14c4e9ee58bc_SiteId">
    <vt:lpwstr>38ae3bcd-9579-4fd4-adda-b42e1495d55a</vt:lpwstr>
  </property>
  <property fmtid="{D5CDD505-2E9C-101B-9397-08002B2CF9AE}" pid="7" name="MSIP_Label_9d258917-277f-42cd-a3cd-14c4e9ee58bc_ActionId">
    <vt:lpwstr>f48e207a-d0f0-4122-9d8c-ba5fabdb45da</vt:lpwstr>
  </property>
  <property fmtid="{D5CDD505-2E9C-101B-9397-08002B2CF9AE}" pid="8" name="MSIP_Label_9d258917-277f-42cd-a3cd-14c4e9ee58bc_ContentBits">
    <vt:lpwstr>0</vt:lpwstr>
  </property>
  <property fmtid="{D5CDD505-2E9C-101B-9397-08002B2CF9AE}" pid="9" name="Document_Confidentiality">
    <vt:lpwstr>Restricted</vt:lpwstr>
  </property>
</Properties>
</file>